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3345B" w14:textId="655C2498" w:rsidR="00FB4B8B" w:rsidRPr="006B7E5E" w:rsidRDefault="00FB4B8B" w:rsidP="00FB4B8B">
      <w:pPr>
        <w:spacing w:line="480" w:lineRule="auto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 w:rsidRPr="00915FC0">
        <w:rPr>
          <w:rFonts w:ascii="Arial" w:hAnsi="Arial" w:cs="Arial"/>
          <w:b/>
          <w:bCs/>
          <w:sz w:val="24"/>
          <w:szCs w:val="24"/>
          <w:lang w:val="en-US"/>
        </w:rPr>
        <w:t>The rise of the Functional Response in invasion science: a systematic review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4D6842">
        <w:rPr>
          <w:rFonts w:ascii="Arial" w:hAnsi="Arial" w:cs="Arial"/>
          <w:b/>
          <w:bCs/>
          <w:sz w:val="24"/>
          <w:szCs w:val="24"/>
          <w:lang w:val="en-US"/>
        </w:rPr>
        <w:t>–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6B7E5E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 xml:space="preserve">Supplementary </w:t>
      </w: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material</w:t>
      </w:r>
      <w:r w:rsidRPr="006B7E5E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2</w:t>
      </w:r>
    </w:p>
    <w:p w14:paraId="3B1ACE86" w14:textId="77777777" w:rsidR="00FB4B8B" w:rsidRPr="00915FC0" w:rsidRDefault="00FB4B8B" w:rsidP="00FB4B8B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915FC0">
        <w:rPr>
          <w:rFonts w:ascii="Arial" w:hAnsi="Arial" w:cs="Arial"/>
          <w:sz w:val="24"/>
          <w:szCs w:val="24"/>
          <w:lang w:val="en-US"/>
        </w:rPr>
        <w:t>Larissa Faria</w:t>
      </w:r>
      <w:r>
        <w:rPr>
          <w:rFonts w:ascii="Arial" w:hAnsi="Arial" w:cs="Arial"/>
          <w:sz w:val="24"/>
          <w:szCs w:val="24"/>
          <w:lang w:val="en-US"/>
        </w:rPr>
        <w:t>*</w:t>
      </w:r>
      <w:r w:rsidRPr="00915FC0">
        <w:rPr>
          <w:rFonts w:ascii="Arial" w:hAnsi="Arial" w:cs="Arial"/>
          <w:sz w:val="24"/>
          <w:szCs w:val="24"/>
          <w:lang w:val="en-US"/>
        </w:rPr>
        <w:t>; Ross N. Cuthbert; James W. E. Dickey; Jonathan M. Jeschke; Anthony Ricciardi; Jaimie T. A. Dick; Jean R. S. Vitule</w:t>
      </w:r>
    </w:p>
    <w:p w14:paraId="0E71CECA" w14:textId="394B8CB1" w:rsidR="00FB4B8B" w:rsidRDefault="00FB4B8B" w:rsidP="00FB4B8B">
      <w:pPr>
        <w:spacing w:line="276" w:lineRule="auto"/>
        <w:rPr>
          <w:rStyle w:val="Hyperlink"/>
          <w:rFonts w:ascii="Arial" w:hAnsi="Arial" w:cs="Arial"/>
          <w:sz w:val="24"/>
          <w:szCs w:val="24"/>
          <w:lang w:val="en-US"/>
        </w:rPr>
      </w:pPr>
      <w:r w:rsidRPr="00915FC0">
        <w:rPr>
          <w:rFonts w:ascii="Arial" w:hAnsi="Arial" w:cs="Arial"/>
          <w:sz w:val="24"/>
          <w:szCs w:val="24"/>
          <w:lang w:val="en-US"/>
        </w:rPr>
        <w:t xml:space="preserve">*Corresponding author: </w:t>
      </w:r>
      <w:r w:rsidR="004D6842">
        <w:rPr>
          <w:rFonts w:ascii="Arial" w:hAnsi="Arial" w:cs="Arial"/>
          <w:sz w:val="24"/>
          <w:szCs w:val="24"/>
          <w:lang w:val="en-GB"/>
        </w:rPr>
        <w:t>larissa.faria@fulbrightmail.org</w:t>
      </w:r>
    </w:p>
    <w:p w14:paraId="785B8E71" w14:textId="77777777" w:rsidR="00FB4B8B" w:rsidRPr="00915FC0" w:rsidRDefault="00FB4B8B" w:rsidP="00FB4B8B">
      <w:pPr>
        <w:spacing w:line="276" w:lineRule="auto"/>
        <w:rPr>
          <w:rFonts w:ascii="Arial" w:hAnsi="Arial" w:cs="Arial"/>
          <w:sz w:val="24"/>
          <w:szCs w:val="24"/>
          <w:lang w:val="en-US"/>
        </w:rPr>
      </w:pPr>
    </w:p>
    <w:p w14:paraId="48F5DAD0" w14:textId="77777777" w:rsidR="00FB4B8B" w:rsidRPr="00915FC0" w:rsidRDefault="00FB4B8B" w:rsidP="00FB4B8B">
      <w:pPr>
        <w:spacing w:before="240" w:line="240" w:lineRule="auto"/>
        <w:rPr>
          <w:rFonts w:ascii="Arial" w:eastAsia="Times New Roman" w:hAnsi="Arial" w:cs="Arial"/>
          <w:b/>
          <w:bCs/>
          <w:sz w:val="24"/>
          <w:szCs w:val="24"/>
          <w:lang w:val="en-GB" w:eastAsia="pt-BR"/>
        </w:rPr>
      </w:pPr>
      <w:r w:rsidRPr="00915FC0">
        <w:rPr>
          <w:rFonts w:ascii="Arial" w:eastAsia="Times New Roman" w:hAnsi="Arial" w:cs="Arial"/>
          <w:b/>
          <w:bCs/>
          <w:sz w:val="24"/>
          <w:szCs w:val="24"/>
          <w:lang w:val="en-GB" w:eastAsia="pt-BR"/>
        </w:rPr>
        <w:t>Table S1</w:t>
      </w:r>
      <w:r>
        <w:rPr>
          <w:rFonts w:ascii="Arial" w:eastAsia="Times New Roman" w:hAnsi="Arial" w:cs="Arial"/>
          <w:b/>
          <w:bCs/>
          <w:sz w:val="24"/>
          <w:szCs w:val="24"/>
          <w:lang w:val="en-GB" w:eastAsia="pt-BR"/>
        </w:rPr>
        <w:t>.</w:t>
      </w:r>
      <w:r w:rsidRPr="00915FC0">
        <w:rPr>
          <w:rFonts w:ascii="Arial" w:eastAsia="Times New Roman" w:hAnsi="Arial" w:cs="Arial"/>
          <w:b/>
          <w:bCs/>
          <w:sz w:val="24"/>
          <w:szCs w:val="24"/>
          <w:lang w:val="en-GB" w:eastAsia="pt-BR"/>
        </w:rPr>
        <w:t xml:space="preserve"> </w:t>
      </w:r>
      <w:r w:rsidRPr="00915FC0">
        <w:rPr>
          <w:rFonts w:ascii="Arial" w:eastAsia="Times New Roman" w:hAnsi="Arial" w:cs="Arial"/>
          <w:sz w:val="24"/>
          <w:szCs w:val="24"/>
          <w:lang w:val="en-GB" w:eastAsia="pt-BR"/>
        </w:rPr>
        <w:t>List of the data extracted from publications included in the systematic review</w:t>
      </w:r>
      <w:r>
        <w:rPr>
          <w:rFonts w:ascii="Arial" w:eastAsia="Times New Roman" w:hAnsi="Arial" w:cs="Arial"/>
          <w:sz w:val="24"/>
          <w:szCs w:val="24"/>
          <w:lang w:val="en-GB" w:eastAsia="pt-BR"/>
        </w:rPr>
        <w:t>.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6094"/>
      </w:tblGrid>
      <w:tr w:rsidR="00FB4B8B" w:rsidRPr="00915FC0" w14:paraId="2DCDFE19" w14:textId="77777777" w:rsidTr="003C0DDE">
        <w:trPr>
          <w:trHeight w:val="340"/>
          <w:tblHeader/>
        </w:trPr>
        <w:tc>
          <w:tcPr>
            <w:tcW w:w="1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AD8463D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GB" w:eastAsia="pt-BR"/>
              </w:rPr>
              <w:t>Field</w:t>
            </w:r>
          </w:p>
        </w:tc>
        <w:tc>
          <w:tcPr>
            <w:tcW w:w="35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60B627B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GB" w:eastAsia="pt-BR"/>
              </w:rPr>
              <w:t>Description</w:t>
            </w:r>
          </w:p>
        </w:tc>
      </w:tr>
      <w:tr w:rsidR="00FB4B8B" w:rsidRPr="00915FC0" w14:paraId="3C970CBA" w14:textId="77777777" w:rsidTr="003C0DDE">
        <w:trPr>
          <w:trHeight w:val="340"/>
        </w:trPr>
        <w:tc>
          <w:tcPr>
            <w:tcW w:w="14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9D0D5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Publication year</w:t>
            </w:r>
          </w:p>
        </w:tc>
        <w:tc>
          <w:tcPr>
            <w:tcW w:w="35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D6DB7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Publication year in issue</w:t>
            </w:r>
            <w:r w:rsidRPr="00915FC0">
              <w:rPr>
                <w:rFonts w:ascii="Arial" w:hAnsi="Arial" w:cs="Arial"/>
                <w:color w:val="000000"/>
                <w:sz w:val="24"/>
                <w:szCs w:val="24"/>
                <w:vertAlign w:val="superscript"/>
                <w:lang w:val="en-GB" w:eastAsia="pt-BR"/>
              </w:rPr>
              <w:t>a</w:t>
            </w:r>
          </w:p>
        </w:tc>
      </w:tr>
      <w:tr w:rsidR="00FB4B8B" w:rsidRPr="00915FC0" w14:paraId="0919ECF9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0102B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Journal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8F7DF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Journal name</w:t>
            </w:r>
          </w:p>
        </w:tc>
      </w:tr>
      <w:tr w:rsidR="00FB4B8B" w:rsidRPr="000F6CAB" w14:paraId="2D2097C3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4C075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 xml:space="preserve">Country 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82497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Country of the corresponding author</w:t>
            </w:r>
          </w:p>
        </w:tc>
      </w:tr>
      <w:tr w:rsidR="00FB4B8B" w:rsidRPr="000F6CAB" w14:paraId="2B12FD9D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AE4B0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Study category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40D66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Biological control, biotic resistance, or impact assessment</w:t>
            </w:r>
          </w:p>
        </w:tc>
      </w:tr>
      <w:tr w:rsidR="00FB4B8B" w:rsidRPr="000F6CAB" w14:paraId="2F3A6A52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837AB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Type of interaction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C6778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Predation, parasitism, herbivory or filter-feeding</w:t>
            </w:r>
          </w:p>
        </w:tc>
      </w:tr>
      <w:tr w:rsidR="00FB4B8B" w:rsidRPr="000F6CAB" w14:paraId="24542B0C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D8BDA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Habitat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B0FA5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Freshwater, marine/brackish water or terrestrial</w:t>
            </w:r>
          </w:p>
        </w:tc>
      </w:tr>
      <w:tr w:rsidR="00FB4B8B" w:rsidRPr="000F6CAB" w14:paraId="5283A989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439CF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Consumer origin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A9ADB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Native, non-native, both or non-identified</w:t>
            </w:r>
          </w:p>
        </w:tc>
      </w:tr>
      <w:tr w:rsidR="00FB4B8B" w:rsidRPr="000F6CAB" w14:paraId="5F13BF70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BCEC7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Resource origin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87240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Native, non-native, both or non-identified</w:t>
            </w:r>
          </w:p>
        </w:tc>
      </w:tr>
      <w:tr w:rsidR="00FB4B8B" w:rsidRPr="000F6CAB" w14:paraId="1DBB08B2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422C1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Consumer taxonomic group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5F8EB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 xml:space="preserve">Algae and plants, amphibians and reptiles, crustaceans, fishes, insects, mammals, molluscs, or other invertebrates </w:t>
            </w:r>
          </w:p>
        </w:tc>
      </w:tr>
      <w:tr w:rsidR="00FB4B8B" w:rsidRPr="00915FC0" w14:paraId="0B2941A8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9466B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Consumer(s) species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F41BA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Consumer species Latin name</w:t>
            </w:r>
          </w:p>
        </w:tc>
      </w:tr>
      <w:tr w:rsidR="00FB4B8B" w:rsidRPr="000F6CAB" w14:paraId="6C762B7B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88FA4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Resource taxonomic group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B569A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Algae and plants, amphibians and reptiles, crustaceans, fishes, insects, mammals, molluscs, or other invertebrates</w:t>
            </w:r>
          </w:p>
        </w:tc>
      </w:tr>
      <w:tr w:rsidR="00FB4B8B" w:rsidRPr="00915FC0" w14:paraId="3C309D75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F1036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lastRenderedPageBreak/>
              <w:t>Resource(s) species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DAB48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Resource species Latin name</w:t>
            </w:r>
          </w:p>
        </w:tc>
      </w:tr>
      <w:tr w:rsidR="00FB4B8B" w:rsidRPr="000F6CAB" w14:paraId="534C4CFE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5631A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Contexts</w:t>
            </w: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7AEDE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Biotic, abiotic, both or none</w:t>
            </w:r>
          </w:p>
        </w:tc>
      </w:tr>
      <w:tr w:rsidR="00FB4B8B" w:rsidRPr="000F6CAB" w14:paraId="4DE435C4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1329E04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Number of treatments</w:t>
            </w:r>
          </w:p>
        </w:tc>
        <w:tc>
          <w:tcPr>
            <w:tcW w:w="35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DE4CEF3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Number of different contexts tested</w:t>
            </w:r>
          </w:p>
        </w:tc>
      </w:tr>
      <w:tr w:rsidR="00FB4B8B" w:rsidRPr="000F6CAB" w14:paraId="36837B20" w14:textId="77777777" w:rsidTr="003C0DDE">
        <w:trPr>
          <w:trHeight w:val="340"/>
        </w:trPr>
        <w:tc>
          <w:tcPr>
            <w:tcW w:w="1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EF72D9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Treatment type</w:t>
            </w:r>
          </w:p>
          <w:p w14:paraId="7546A6D0" w14:textId="77777777" w:rsidR="00FB4B8B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</w:p>
          <w:p w14:paraId="6B15D615" w14:textId="09E019B3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FR type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C2C902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Description of the contexts (e.g. temperature, life stage, etc)</w:t>
            </w:r>
          </w:p>
          <w:p w14:paraId="2EA6226D" w14:textId="77777777" w:rsidR="00FB4B8B" w:rsidRPr="00915FC0" w:rsidRDefault="00FB4B8B" w:rsidP="003C0DDE">
            <w:pPr>
              <w:spacing w:after="0" w:line="480" w:lineRule="auto"/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</w:pPr>
            <w:r w:rsidRPr="00915FC0">
              <w:rPr>
                <w:rFonts w:ascii="Arial" w:hAnsi="Arial" w:cs="Arial"/>
                <w:color w:val="000000"/>
                <w:sz w:val="24"/>
                <w:szCs w:val="24"/>
                <w:lang w:val="en-GB" w:eastAsia="pt-BR"/>
              </w:rPr>
              <w:t>I, II, III, or not defined (for each Functional Response curve)</w:t>
            </w:r>
          </w:p>
        </w:tc>
      </w:tr>
    </w:tbl>
    <w:p w14:paraId="6D17580F" w14:textId="0189D2D4" w:rsidR="00FB4B8B" w:rsidRPr="00915FC0" w:rsidRDefault="00FB4B8B" w:rsidP="00FB4B8B">
      <w:pPr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</w:pPr>
      <w:r w:rsidRPr="00915FC0">
        <w:rPr>
          <w:rFonts w:ascii="Arial" w:eastAsia="Times New Roman" w:hAnsi="Arial" w:cs="Arial"/>
          <w:color w:val="000000"/>
          <w:sz w:val="24"/>
          <w:szCs w:val="24"/>
          <w:vertAlign w:val="superscript"/>
          <w:lang w:val="en-GB" w:eastAsia="pt-BR"/>
        </w:rPr>
        <w:t xml:space="preserve">a </w:t>
      </w:r>
      <w:r w:rsidRPr="00915FC0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>Note that even limiting our search in the W</w:t>
      </w:r>
      <w:r w:rsidR="000F6CAB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 xml:space="preserve">eb </w:t>
      </w:r>
      <w:r w:rsidRPr="00915FC0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>o</w:t>
      </w:r>
      <w:r w:rsidR="000F6CAB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 xml:space="preserve">f </w:t>
      </w:r>
      <w:r w:rsidRPr="00915FC0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>S</w:t>
      </w:r>
      <w:r w:rsidR="000F6CAB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>cience</w:t>
      </w:r>
      <w:r w:rsidRPr="00915FC0">
        <w:rPr>
          <w:rFonts w:ascii="Arial" w:eastAsia="Times New Roman" w:hAnsi="Arial" w:cs="Arial"/>
          <w:color w:val="000000"/>
          <w:sz w:val="24"/>
          <w:szCs w:val="24"/>
          <w:lang w:val="en-GB" w:eastAsia="pt-BR"/>
        </w:rPr>
        <w:t xml:space="preserve"> up to 2020, some papers published in issue in 2021 were included because they were indexed in the database as Early View papers. However, we recorded the year of publication in issue (2021).</w:t>
      </w:r>
    </w:p>
    <w:p w14:paraId="46B968FD" w14:textId="77777777" w:rsidR="00CE5AFA" w:rsidRPr="000F6CAB" w:rsidRDefault="00CE5AFA">
      <w:pPr>
        <w:rPr>
          <w:lang w:val="en-US"/>
        </w:rPr>
      </w:pPr>
    </w:p>
    <w:sectPr w:rsidR="00CE5AFA" w:rsidRPr="000F6C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ztDCwMDYxNTY0NzVX0lEKTi0uzszPAykwrAUArQMkBCwAAAA="/>
  </w:docVars>
  <w:rsids>
    <w:rsidRoot w:val="00FB4B8B"/>
    <w:rsid w:val="000F6CAB"/>
    <w:rsid w:val="00132043"/>
    <w:rsid w:val="00346C72"/>
    <w:rsid w:val="003568AF"/>
    <w:rsid w:val="004D6842"/>
    <w:rsid w:val="004E0EF3"/>
    <w:rsid w:val="00B571BB"/>
    <w:rsid w:val="00CE5AFA"/>
    <w:rsid w:val="00FB4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D322D7"/>
  <w15:chartTrackingRefBased/>
  <w15:docId w15:val="{E49A9FCB-A96A-47F2-8015-D2694A5C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B8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B4B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269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Faria</dc:creator>
  <cp:keywords/>
  <dc:description/>
  <cp:lastModifiedBy>Larissa Faria</cp:lastModifiedBy>
  <cp:revision>3</cp:revision>
  <dcterms:created xsi:type="dcterms:W3CDTF">2022-12-15T22:48:00Z</dcterms:created>
  <dcterms:modified xsi:type="dcterms:W3CDTF">2023-04-12T20:06:00Z</dcterms:modified>
</cp:coreProperties>
</file>