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EC4" w:rsidRDefault="00F55EC4" w:rsidP="00F55EC4">
      <w:pPr>
        <w:pStyle w:val="SupplementaryMaterialHead"/>
        <w:autoSpaceDE w:val="0"/>
        <w:autoSpaceDN w:val="0"/>
        <w:adjustRightInd w:val="0"/>
      </w:pPr>
      <w:r>
        <w:t xml:space="preserve">Supplementary material 2. </w:t>
      </w:r>
    </w:p>
    <w:p w:rsidR="00F55EC4" w:rsidRDefault="00F55EC4" w:rsidP="00F55EC4">
      <w:pPr>
        <w:pStyle w:val="TableTitle"/>
        <w:autoSpaceDE w:val="0"/>
        <w:autoSpaceDN w:val="0"/>
        <w:adjustRightInd w:val="0"/>
      </w:pPr>
      <w:r>
        <w:t xml:space="preserve">Table S2. Kimura 2 parameter distance amongst sequences of the mitochondrial COI gene of selected </w:t>
      </w:r>
      <w:r>
        <w:rPr>
          <w:i/>
        </w:rPr>
        <w:t>Alainites</w:t>
      </w:r>
      <w:r>
        <w:t xml:space="preserve">, </w:t>
      </w:r>
      <w:r>
        <w:rPr>
          <w:i/>
        </w:rPr>
        <w:t>Takobia</w:t>
      </w:r>
      <w:r>
        <w:t xml:space="preserve">, and </w:t>
      </w:r>
      <w:r>
        <w:rPr>
          <w:i/>
        </w:rPr>
        <w:t>Nigrobaetis</w:t>
      </w:r>
      <w:r>
        <w:t xml:space="preserve"> species (presenting mean and min–max distance for each group with &gt; 1 individual; for number of samples per taxon see Supplementary material 1). Taxa names correspond to the sequences detailed in Supp. material 1, using the following abbreviations: Ab = </w:t>
      </w:r>
      <w:r>
        <w:rPr>
          <w:i/>
        </w:rPr>
        <w:t>Alainites bengunn</w:t>
      </w:r>
      <w:r>
        <w:t xml:space="preserve"> sp. nov., Ag = </w:t>
      </w:r>
      <w:r>
        <w:rPr>
          <w:i/>
        </w:rPr>
        <w:t>Alainites gasithi</w:t>
      </w:r>
      <w:r>
        <w:t xml:space="preserve"> sp. nov., A1 = </w:t>
      </w:r>
      <w:r>
        <w:rPr>
          <w:i/>
        </w:rPr>
        <w:t>Alainites</w:t>
      </w:r>
      <w:r>
        <w:t xml:space="preserve"> cf. </w:t>
      </w:r>
      <w:r>
        <w:rPr>
          <w:i/>
        </w:rPr>
        <w:t>muticus</w:t>
      </w:r>
      <w:r>
        <w:t xml:space="preserve"> sp1, A2 = </w:t>
      </w:r>
      <w:r>
        <w:rPr>
          <w:i/>
        </w:rPr>
        <w:t>Alainites</w:t>
      </w:r>
      <w:r>
        <w:t xml:space="preserve"> cf. </w:t>
      </w:r>
      <w:r>
        <w:rPr>
          <w:i/>
        </w:rPr>
        <w:t>muticus</w:t>
      </w:r>
      <w:r>
        <w:t xml:space="preserve"> sp2, A3 = </w:t>
      </w:r>
      <w:r>
        <w:rPr>
          <w:i/>
        </w:rPr>
        <w:t>Alainites</w:t>
      </w:r>
      <w:r>
        <w:t xml:space="preserve"> cf. </w:t>
      </w:r>
      <w:r>
        <w:rPr>
          <w:i/>
        </w:rPr>
        <w:t>muticus</w:t>
      </w:r>
      <w:r>
        <w:t xml:space="preserve"> sp3, A4 = </w:t>
      </w:r>
      <w:r>
        <w:rPr>
          <w:i/>
        </w:rPr>
        <w:t>Alainites</w:t>
      </w:r>
      <w:r>
        <w:t xml:space="preserve"> cf. </w:t>
      </w:r>
      <w:r>
        <w:rPr>
          <w:i/>
        </w:rPr>
        <w:t>muticus</w:t>
      </w:r>
      <w:r>
        <w:t xml:space="preserve"> sp4, A5 = </w:t>
      </w:r>
      <w:r>
        <w:rPr>
          <w:i/>
        </w:rPr>
        <w:t>Alainites</w:t>
      </w:r>
      <w:r>
        <w:t xml:space="preserve"> cf. </w:t>
      </w:r>
      <w:r>
        <w:rPr>
          <w:i/>
        </w:rPr>
        <w:t>muticus</w:t>
      </w:r>
      <w:r>
        <w:t xml:space="preserve"> sp5, Aa = </w:t>
      </w:r>
      <w:r>
        <w:rPr>
          <w:i/>
        </w:rPr>
        <w:t>Alainites albinatii</w:t>
      </w:r>
      <w:r>
        <w:t xml:space="preserve">, As = </w:t>
      </w:r>
      <w:r>
        <w:rPr>
          <w:i/>
        </w:rPr>
        <w:t>Alainites sadati</w:t>
      </w:r>
      <w:r>
        <w:t xml:space="preserve">, Ak = </w:t>
      </w:r>
      <w:r>
        <w:rPr>
          <w:i/>
        </w:rPr>
        <w:t>Alainites kars</w:t>
      </w:r>
      <w:r>
        <w:t xml:space="preserve">, At = </w:t>
      </w:r>
      <w:r>
        <w:rPr>
          <w:i/>
        </w:rPr>
        <w:t>Alainites talasi</w:t>
      </w:r>
      <w:r>
        <w:t xml:space="preserve">, T = </w:t>
      </w:r>
      <w:r>
        <w:rPr>
          <w:i/>
        </w:rPr>
        <w:t>Takobia</w:t>
      </w:r>
      <w:r>
        <w:t xml:space="preserve"> spp., N = </w:t>
      </w:r>
      <w:r>
        <w:rPr>
          <w:i/>
        </w:rPr>
        <w:t>Nigrobaetis</w:t>
      </w:r>
      <w:r>
        <w:t xml:space="preserve"> spp., L = </w:t>
      </w:r>
      <w:r>
        <w:rPr>
          <w:i/>
        </w:rPr>
        <w:t>Labiobaetis</w:t>
      </w:r>
      <w:r>
        <w:t xml:space="preserve"> spp.</w:t>
      </w:r>
    </w:p>
    <w:tbl>
      <w:tblPr>
        <w:tblW w:w="130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68"/>
        <w:gridCol w:w="869"/>
        <w:gridCol w:w="869"/>
        <w:gridCol w:w="869"/>
        <w:gridCol w:w="869"/>
        <w:gridCol w:w="869"/>
        <w:gridCol w:w="869"/>
        <w:gridCol w:w="869"/>
        <w:gridCol w:w="869"/>
        <w:gridCol w:w="869"/>
        <w:gridCol w:w="869"/>
        <w:gridCol w:w="869"/>
        <w:gridCol w:w="869"/>
        <w:gridCol w:w="869"/>
        <w:gridCol w:w="870"/>
      </w:tblGrid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Ab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0.5%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0.1–0.7%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Ag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22.4%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22.1–22.7%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0.1%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0.0–0.1%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A1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20.3%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19.6–21.0%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22.2–23.1%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1.2%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0.0–2.3%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A2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26.6%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26.3–26.7%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23.0–23.2%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21.8%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21.2–22.3%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–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A3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21.0%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20.6–21.5%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24.4–25.2%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17.9%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16.8–18.9%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23.3–23.7%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2.1%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A4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20.0%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19.1–21.1%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24.3–24.9%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18.1%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16.6–19.1%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23.3%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22.7–24.1%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16.9%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16.3–17.8%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0.1%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0.1–0.2%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A5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27.2%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26.4–28.4%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21.4–25.2%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22.9%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21.6–23.9%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22.9–26.7%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22.9–24.2%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22.7–24.4%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0.8%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0.3–1.3%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lastRenderedPageBreak/>
              <w:t>Aa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19.6%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19.2–19.8%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22.6–23.3%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16.8%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16.5–17.3%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20.1%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20.3–21.0%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17.5%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17.4–17.7%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19.8%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18.8–21.1%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20.7%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19.7–22.4%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1.5%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As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24.3–25.3%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23.9%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23.8–24.1%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23.5–24.4%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25.0%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23.2–24.3%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26.0%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25.7–26.5%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19.9%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19.3–20.4%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22.9–23.2%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–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Ak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24.3–25.0%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19.4%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19.2–19.6%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21.4–22.5%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24.2%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24.1–24.3%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23.3%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22.1–24.4%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25.9%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24.8–27.6%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20.0%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19.1–21.6%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20.1%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19.9–20.3%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23.4–23.6%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0.1%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At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27.1%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27.1–27.1%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23.9–24.1%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27.5%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26.6–28.1%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26.4%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24.3–25.4%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28.0%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27.9–28.1%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25.1%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24.6–25.8%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27.4%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27.1–27.6%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25.0%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25.0–25.0%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24.9%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24.8–25.0%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0.0%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T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27.2%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26.2–28.0%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22.9–24.3%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25.6%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24.7–26.6%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26.7%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25.7–27.6%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24.2–25.1%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27.1%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24.2–30.3%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25.9%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23.1–29.5%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22.2%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21.9–22.8%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26.6%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26.2–27.0%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22.7–23.3%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24.2%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23.0–25.4%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13.5%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N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27.4%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20.6–30.0%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23.3%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20.4–25.5%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25.7%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22.3–27.8%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27.6%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25.2–29.9%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25.5%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21.4–29.2%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26.7%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23.8–30.2%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23.4%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21.3–25.9%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19.9–25.5%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18.9–27.3%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22.2%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19.1–24.1%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21.9–24.7%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19.9–26.1%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19.7%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1.9–23.9%</w:t>
            </w: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L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25.0%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23.2–26.9%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21.3–23.8%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24.2%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22.4–25.8%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26.8%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26.0–27.9%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24.4%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22.4–27.6%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22.4–25.2%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24.2%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21.6–27.2%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21.7%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19.6–25.9%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23.5%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21.6–26.0%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22.3%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19.6–25.4%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23.7%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22.7–24.8%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22.3%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20.5–25.7%</w:t>
            </w:r>
          </w:p>
        </w:tc>
        <w:tc>
          <w:tcPr>
            <w:tcW w:w="869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21.6%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17.6–24.3%</w:t>
            </w:r>
          </w:p>
        </w:tc>
        <w:tc>
          <w:tcPr>
            <w:tcW w:w="870" w:type="dxa"/>
          </w:tcPr>
          <w:p w:rsidR="00F55EC4" w:rsidRDefault="00F55EC4" w:rsidP="00D11389">
            <w:pPr>
              <w:autoSpaceDE w:val="0"/>
              <w:autoSpaceDN w:val="0"/>
              <w:adjustRightInd w:val="0"/>
            </w:pPr>
            <w:r>
              <w:t>15.9%</w:t>
            </w:r>
          </w:p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0.4–21.0%</w:t>
            </w:r>
          </w:p>
        </w:tc>
      </w:tr>
      <w:tr w:rsidR="00F55EC4" w:rsidRPr="00E67EF9" w:rsidTr="00D11389">
        <w:tc>
          <w:tcPr>
            <w:tcW w:w="868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Ab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Ag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A1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A2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A3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A4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A5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Aa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As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Ak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At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T</w:t>
            </w:r>
          </w:p>
        </w:tc>
        <w:tc>
          <w:tcPr>
            <w:tcW w:w="869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N</w:t>
            </w:r>
          </w:p>
        </w:tc>
        <w:tc>
          <w:tcPr>
            <w:tcW w:w="870" w:type="dxa"/>
          </w:tcPr>
          <w:p w:rsidR="00F55EC4" w:rsidRPr="0032159E" w:rsidRDefault="00F55EC4" w:rsidP="00D11389">
            <w:pPr>
              <w:autoSpaceDE w:val="0"/>
              <w:autoSpaceDN w:val="0"/>
              <w:adjustRightInd w:val="0"/>
              <w:spacing w:after="200"/>
              <w:rPr>
                <w:lang w:val="en-GB"/>
              </w:rPr>
            </w:pPr>
            <w:r w:rsidRPr="0032159E">
              <w:t>L</w:t>
            </w:r>
          </w:p>
        </w:tc>
      </w:tr>
    </w:tbl>
    <w:p w:rsidR="00F55EC4" w:rsidRDefault="00F55EC4" w:rsidP="00F55EC4">
      <w:pPr>
        <w:autoSpaceDE w:val="0"/>
        <w:autoSpaceDN w:val="0"/>
        <w:adjustRightInd w:val="0"/>
      </w:pPr>
    </w:p>
    <w:p w:rsidR="00EB17C0" w:rsidRDefault="00EB17C0">
      <w:bookmarkStart w:id="0" w:name="_GoBack"/>
      <w:bookmarkEnd w:id="0"/>
    </w:p>
    <w:sectPr w:rsidR="00EB17C0" w:rsidSect="00F55EC4">
      <w:footerReference w:type="default" r:id="rId4"/>
      <w:pgSz w:w="15840" w:h="12240" w:orient="landscape"/>
      <w:pgMar w:top="964" w:right="964" w:bottom="964" w:left="96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2A55" w:rsidRDefault="00F55EC4">
    <w:pPr>
      <w:pStyle w:val="Footer"/>
      <w:jc w:val="center"/>
    </w:pPr>
    <w:r w:rsidRPr="00366077">
      <w:fldChar w:fldCharType="begin"/>
    </w:r>
    <w:r w:rsidRPr="00366077">
      <w:instrText xml:space="preserve"> PAGE   \* MERGEFORMAT </w:instrText>
    </w:r>
    <w:r w:rsidRPr="00366077">
      <w:fldChar w:fldCharType="separate"/>
    </w:r>
    <w:r>
      <w:rPr>
        <w:noProof/>
      </w:rPr>
      <w:t>2</w:t>
    </w:r>
    <w:r w:rsidRPr="00366077">
      <w:fldChar w:fldCharType="end"/>
    </w:r>
  </w:p>
  <w:p w:rsidR="00742A55" w:rsidRDefault="00F55EC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EC4"/>
    <w:rsid w:val="00B8172A"/>
    <w:rsid w:val="00EB17C0"/>
    <w:rsid w:val="00F55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C2DD12-D8F6-4F6B-826E-FB1F556A8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5E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55EC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EC4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SupplementaryMaterialHead">
    <w:name w:val="Supplementary_Material_Head"/>
    <w:basedOn w:val="Normal"/>
    <w:rsid w:val="00F55EC4"/>
    <w:pPr>
      <w:keepNext/>
      <w:spacing w:before="240"/>
      <w:outlineLvl w:val="0"/>
    </w:pPr>
    <w:rPr>
      <w:rFonts w:ascii="Arial" w:hAnsi="Arial"/>
      <w:b/>
      <w:sz w:val="28"/>
    </w:rPr>
  </w:style>
  <w:style w:type="paragraph" w:customStyle="1" w:styleId="TableTitle">
    <w:name w:val="Table_Title"/>
    <w:basedOn w:val="Normal"/>
    <w:rsid w:val="00F55EC4"/>
    <w:pPr>
      <w:spacing w:before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eXtyles Bibliographic Reference Processing</dc:creator>
  <cp:keywords/>
  <dc:description/>
  <cp:lastModifiedBy>eXtyles Bibliographic Reference Processing</cp:lastModifiedBy>
  <cp:revision>1</cp:revision>
  <dcterms:created xsi:type="dcterms:W3CDTF">2022-08-15T07:43:00Z</dcterms:created>
  <dcterms:modified xsi:type="dcterms:W3CDTF">2022-08-15T07:43:00Z</dcterms:modified>
</cp:coreProperties>
</file>