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03F" w:rsidRDefault="00AE203F" w:rsidP="001D7890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Supplementary Material</w:t>
      </w:r>
      <w:r w:rsidRPr="009C463C">
        <w:rPr>
          <w:rFonts w:ascii="Arial" w:hAnsi="Arial" w:cs="Arial"/>
          <w:b/>
          <w:sz w:val="28"/>
          <w:szCs w:val="28"/>
        </w:rPr>
        <w:t xml:space="preserve"> </w:t>
      </w:r>
      <w:r w:rsidR="007420CA">
        <w:rPr>
          <w:rFonts w:ascii="Arial" w:hAnsi="Arial" w:cs="Arial"/>
          <w:b/>
          <w:sz w:val="28"/>
          <w:szCs w:val="28"/>
        </w:rPr>
        <w:t>4</w:t>
      </w:r>
    </w:p>
    <w:p w:rsidR="00AE203F" w:rsidRDefault="00AE203F" w:rsidP="001D7890">
      <w:pPr>
        <w:rPr>
          <w:rFonts w:ascii="Arial" w:hAnsi="Arial" w:cs="Arial"/>
          <w:b/>
          <w:sz w:val="28"/>
          <w:szCs w:val="28"/>
        </w:rPr>
      </w:pPr>
    </w:p>
    <w:p w:rsidR="00AE203F" w:rsidRPr="009C463C" w:rsidRDefault="00AE203F" w:rsidP="00AE203F">
      <w:pPr>
        <w:rPr>
          <w:rFonts w:ascii="Arial" w:hAnsi="Arial" w:cs="Arial"/>
          <w:b/>
        </w:rPr>
      </w:pPr>
      <w:r w:rsidRPr="009C463C">
        <w:rPr>
          <w:rFonts w:ascii="Arial" w:hAnsi="Arial" w:cs="Arial"/>
          <w:b/>
        </w:rPr>
        <w:t>Amplification Procedures</w:t>
      </w:r>
    </w:p>
    <w:p w:rsidR="00AE203F" w:rsidRPr="00AE203F" w:rsidRDefault="00AE203F" w:rsidP="001D7890">
      <w:pPr>
        <w:rPr>
          <w:rFonts w:ascii="Arial" w:eastAsia="Times New Roman" w:hAnsi="Arial" w:cs="Arial"/>
          <w:iCs/>
          <w:color w:val="000000"/>
          <w:szCs w:val="24"/>
        </w:rPr>
      </w:pPr>
    </w:p>
    <w:p w:rsidR="00AE203F" w:rsidRDefault="00AE203F" w:rsidP="00AE203F">
      <w:pPr>
        <w:rPr>
          <w:rFonts w:ascii="Arial" w:hAnsi="Arial" w:cs="Arial"/>
        </w:rPr>
      </w:pPr>
      <w:r w:rsidRPr="009C463C">
        <w:rPr>
          <w:rFonts w:ascii="Arial" w:hAnsi="Arial" w:cs="Arial"/>
        </w:rPr>
        <w:t xml:space="preserve">DNA amplification </w:t>
      </w:r>
      <w:r>
        <w:rPr>
          <w:rFonts w:ascii="Arial" w:hAnsi="Arial" w:cs="Arial"/>
        </w:rPr>
        <w:t>procedures were as follows. Only the procedures for the newly-designed primers are given. For CO</w:t>
      </w:r>
      <w:bookmarkStart w:id="0" w:name="_GoBack"/>
      <w:bookmarkEnd w:id="0"/>
      <w:r>
        <w:rPr>
          <w:rFonts w:ascii="Arial" w:hAnsi="Arial" w:cs="Arial"/>
        </w:rPr>
        <w:t>I, EF1-a, and 28S procedures, see Means &amp; Marek (2017). T</w:t>
      </w:r>
      <w:r w:rsidRPr="009C463C">
        <w:rPr>
          <w:rFonts w:ascii="Arial" w:hAnsi="Arial" w:cs="Arial"/>
        </w:rPr>
        <w:t>he following master mixes [</w:t>
      </w:r>
      <w:r>
        <w:rPr>
          <w:rFonts w:ascii="Arial" w:hAnsi="Arial" w:cs="Arial"/>
        </w:rPr>
        <w:t xml:space="preserve">with </w:t>
      </w:r>
      <w:r w:rsidRPr="009C463C">
        <w:rPr>
          <w:rFonts w:ascii="Arial" w:hAnsi="Arial" w:cs="Arial"/>
        </w:rPr>
        <w:t>volumes calculated for 6 samples plus a negative and a positive control (49 µL)] and thermocycler protocols</w:t>
      </w:r>
      <w:r>
        <w:rPr>
          <w:rFonts w:ascii="Arial" w:hAnsi="Arial" w:cs="Arial"/>
        </w:rPr>
        <w:t xml:space="preserve"> were used</w:t>
      </w:r>
      <w:r w:rsidRPr="009C463C">
        <w:rPr>
          <w:rFonts w:ascii="Arial" w:hAnsi="Arial" w:cs="Arial"/>
        </w:rPr>
        <w:t xml:space="preserve">. </w:t>
      </w:r>
    </w:p>
    <w:p w:rsidR="00AE203F" w:rsidRDefault="00AE203F" w:rsidP="001D7890">
      <w:pPr>
        <w:rPr>
          <w:rFonts w:ascii="Arial" w:eastAsia="Times New Roman" w:hAnsi="Arial" w:cs="Arial"/>
          <w:i/>
          <w:iCs/>
          <w:color w:val="000000"/>
          <w:szCs w:val="24"/>
        </w:rPr>
      </w:pPr>
    </w:p>
    <w:p w:rsidR="001D7890" w:rsidRPr="001D7890" w:rsidRDefault="001D7890" w:rsidP="001D7890">
      <w:pPr>
        <w:rPr>
          <w:rFonts w:ascii="Arial" w:eastAsia="Times New Roman" w:hAnsi="Arial" w:cs="Arial"/>
          <w:color w:val="000000"/>
          <w:szCs w:val="24"/>
        </w:rPr>
      </w:pPr>
      <w:r w:rsidRPr="001D7890">
        <w:rPr>
          <w:rFonts w:ascii="Arial" w:eastAsia="Times New Roman" w:hAnsi="Arial" w:cs="Arial"/>
          <w:i/>
          <w:iCs/>
          <w:color w:val="000000"/>
          <w:szCs w:val="24"/>
        </w:rPr>
        <w:t>Nannaria 16S (5’ end)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: master mix </w:t>
      </w:r>
      <w:r w:rsidR="008311E2" w:rsidRPr="008311E2">
        <w:rPr>
          <w:rFonts w:ascii="Arial" w:eastAsia="Times New Roman" w:hAnsi="Arial" w:cs="Arial"/>
          <w:color w:val="000000"/>
          <w:szCs w:val="24"/>
        </w:rPr>
        <w:t>–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 </w:t>
      </w:r>
      <w:r w:rsidR="008311E2" w:rsidRPr="008311E2">
        <w:rPr>
          <w:rFonts w:ascii="Arial" w:eastAsia="Times New Roman" w:hAnsi="Arial" w:cs="Arial"/>
          <w:color w:val="000000"/>
          <w:szCs w:val="24"/>
        </w:rPr>
        <w:t>290.25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 µL water, 45 µL dNTP’s, 45 µL 10X buffer, </w:t>
      </w:r>
      <w:r w:rsidR="008311E2" w:rsidRPr="008311E2">
        <w:rPr>
          <w:rFonts w:ascii="Arial" w:eastAsia="Times New Roman" w:hAnsi="Arial" w:cs="Arial"/>
          <w:color w:val="000000"/>
          <w:szCs w:val="24"/>
        </w:rPr>
        <w:t>22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.5 µL LR-J-Nan16S (forward primer, CGCTGTTATCCCTACAGTAA), </w:t>
      </w:r>
      <w:r w:rsidR="008311E2" w:rsidRPr="008311E2">
        <w:rPr>
          <w:rFonts w:ascii="Arial" w:eastAsia="Times New Roman" w:hAnsi="Arial" w:cs="Arial"/>
          <w:color w:val="000000"/>
          <w:szCs w:val="24"/>
        </w:rPr>
        <w:t>22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.5 µL SR-N-Nan16S (reverse primer, CGATGAATAACGAGCTATAG), 13.5 µL DMSO and 2.25 µL </w:t>
      </w:r>
      <w:proofErr w:type="spellStart"/>
      <w:r w:rsidRPr="001D7890">
        <w:rPr>
          <w:rFonts w:ascii="Arial" w:eastAsia="Times New Roman" w:hAnsi="Arial" w:cs="Arial"/>
          <w:color w:val="000000"/>
          <w:szCs w:val="24"/>
        </w:rPr>
        <w:t>Taq</w:t>
      </w:r>
      <w:proofErr w:type="spellEnd"/>
      <w:r w:rsidRPr="001D7890">
        <w:rPr>
          <w:rFonts w:ascii="Arial" w:eastAsia="Times New Roman" w:hAnsi="Arial" w:cs="Arial"/>
          <w:color w:val="000000"/>
          <w:szCs w:val="24"/>
        </w:rPr>
        <w:t>; thermocycler protocol - Start at 95 °C for 120 seconds, then 29 cycles of denaturing (94 °C for 30 seconds), annealing (52 °C for 30 seconds) and extension (72 °C for 60 seconds) with a 2 minute final ext</w:t>
      </w:r>
      <w:r w:rsidR="00D4118A">
        <w:rPr>
          <w:rFonts w:ascii="Arial" w:eastAsia="Times New Roman" w:hAnsi="Arial" w:cs="Arial"/>
          <w:color w:val="000000"/>
          <w:szCs w:val="24"/>
        </w:rPr>
        <w:t>ension at 72 °C (Marek and Bond 2006; 2007; Marek and Moore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 2015). </w:t>
      </w:r>
    </w:p>
    <w:p w:rsidR="001D7890" w:rsidRPr="001D7890" w:rsidRDefault="001D7890" w:rsidP="001D7890">
      <w:pPr>
        <w:rPr>
          <w:rFonts w:ascii="Arial" w:eastAsia="Times New Roman" w:hAnsi="Arial" w:cs="Arial"/>
          <w:color w:val="000000"/>
          <w:szCs w:val="24"/>
        </w:rPr>
      </w:pPr>
    </w:p>
    <w:p w:rsidR="001D7890" w:rsidRPr="001D7890" w:rsidRDefault="001D7890" w:rsidP="001D7890">
      <w:pPr>
        <w:rPr>
          <w:rFonts w:ascii="Arial" w:eastAsia="Times New Roman" w:hAnsi="Arial" w:cs="Arial"/>
          <w:color w:val="000000"/>
          <w:szCs w:val="24"/>
        </w:rPr>
      </w:pPr>
      <w:r w:rsidRPr="001D7890">
        <w:rPr>
          <w:rFonts w:ascii="Arial" w:eastAsia="Times New Roman" w:hAnsi="Arial" w:cs="Arial"/>
          <w:i/>
          <w:iCs/>
          <w:color w:val="000000"/>
          <w:szCs w:val="24"/>
        </w:rPr>
        <w:t xml:space="preserve">Nannaria </w:t>
      </w:r>
      <w:proofErr w:type="spellStart"/>
      <w:r w:rsidRPr="001D7890">
        <w:rPr>
          <w:rFonts w:ascii="Arial" w:eastAsia="Times New Roman" w:hAnsi="Arial" w:cs="Arial"/>
          <w:i/>
          <w:iCs/>
          <w:color w:val="000000"/>
          <w:szCs w:val="24"/>
        </w:rPr>
        <w:t>fbox</w:t>
      </w:r>
      <w:proofErr w:type="spellEnd"/>
      <w:r w:rsidRPr="001D7890">
        <w:rPr>
          <w:rFonts w:ascii="Arial" w:eastAsia="Times New Roman" w:hAnsi="Arial" w:cs="Arial"/>
          <w:i/>
          <w:iCs/>
          <w:color w:val="000000"/>
          <w:szCs w:val="24"/>
        </w:rPr>
        <w:t xml:space="preserve"> (5’ end)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: master mix </w:t>
      </w:r>
      <w:r w:rsidR="00F5477F">
        <w:rPr>
          <w:rFonts w:ascii="Arial" w:eastAsia="Times New Roman" w:hAnsi="Arial" w:cs="Arial"/>
          <w:color w:val="000000"/>
          <w:szCs w:val="24"/>
        </w:rPr>
        <w:t>–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 </w:t>
      </w:r>
      <w:r w:rsidR="00F5477F" w:rsidRPr="00F5477F">
        <w:rPr>
          <w:rFonts w:ascii="Arial" w:eastAsia="Times New Roman" w:hAnsi="Arial" w:cs="Arial"/>
          <w:color w:val="000000" w:themeColor="text1"/>
          <w:szCs w:val="24"/>
        </w:rPr>
        <w:t>290.25</w:t>
      </w:r>
      <w:r w:rsidRPr="001D7890">
        <w:rPr>
          <w:rFonts w:ascii="Arial" w:eastAsia="Times New Roman" w:hAnsi="Arial" w:cs="Arial"/>
          <w:color w:val="000000" w:themeColor="text1"/>
          <w:szCs w:val="24"/>
        </w:rPr>
        <w:t xml:space="preserve"> 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µL water, 45 µL dNTP’s, 45 µL 10X buffer, </w:t>
      </w:r>
      <w:r w:rsidR="00F5477F" w:rsidRPr="00F5477F">
        <w:rPr>
          <w:rFonts w:ascii="Arial" w:eastAsia="Times New Roman" w:hAnsi="Arial" w:cs="Arial"/>
          <w:color w:val="000000" w:themeColor="text1"/>
          <w:szCs w:val="24"/>
        </w:rPr>
        <w:t>22.</w:t>
      </w:r>
      <w:r w:rsidRPr="001D7890">
        <w:rPr>
          <w:rFonts w:ascii="Arial" w:eastAsia="Times New Roman" w:hAnsi="Arial" w:cs="Arial"/>
          <w:color w:val="000000" w:themeColor="text1"/>
          <w:szCs w:val="24"/>
        </w:rPr>
        <w:t xml:space="preserve">5 </w:t>
      </w:r>
      <w:r w:rsidRPr="001D7890">
        <w:rPr>
          <w:rFonts w:ascii="Arial" w:eastAsia="Times New Roman" w:hAnsi="Arial" w:cs="Arial"/>
          <w:color w:val="000000"/>
          <w:szCs w:val="24"/>
        </w:rPr>
        <w:t>µL J-</w:t>
      </w:r>
      <w:proofErr w:type="spellStart"/>
      <w:r w:rsidRPr="001D7890">
        <w:rPr>
          <w:rFonts w:ascii="Arial" w:eastAsia="Times New Roman" w:hAnsi="Arial" w:cs="Arial"/>
          <w:color w:val="000000"/>
          <w:szCs w:val="24"/>
        </w:rPr>
        <w:t>Nanfbox</w:t>
      </w:r>
      <w:proofErr w:type="spellEnd"/>
      <w:r w:rsidRPr="001D7890">
        <w:rPr>
          <w:rFonts w:ascii="Arial" w:eastAsia="Times New Roman" w:hAnsi="Arial" w:cs="Arial"/>
          <w:color w:val="000000"/>
          <w:szCs w:val="24"/>
        </w:rPr>
        <w:t xml:space="preserve"> (forward primer, GGACGAGCTGCTCAGGTGTG), </w:t>
      </w:r>
      <w:r w:rsidR="00F5477F">
        <w:rPr>
          <w:rFonts w:ascii="Arial" w:eastAsia="Times New Roman" w:hAnsi="Arial" w:cs="Arial"/>
          <w:color w:val="000000" w:themeColor="text1"/>
          <w:szCs w:val="24"/>
        </w:rPr>
        <w:t>22.</w:t>
      </w:r>
      <w:r w:rsidRPr="001D7890">
        <w:rPr>
          <w:rFonts w:ascii="Arial" w:eastAsia="Times New Roman" w:hAnsi="Arial" w:cs="Arial"/>
          <w:color w:val="000000" w:themeColor="text1"/>
          <w:szCs w:val="24"/>
        </w:rPr>
        <w:t xml:space="preserve">5 </w:t>
      </w:r>
      <w:r w:rsidRPr="001D7890">
        <w:rPr>
          <w:rFonts w:ascii="Arial" w:eastAsia="Times New Roman" w:hAnsi="Arial" w:cs="Arial"/>
          <w:color w:val="000000"/>
          <w:szCs w:val="24"/>
        </w:rPr>
        <w:t>µL N-</w:t>
      </w:r>
      <w:proofErr w:type="spellStart"/>
      <w:r w:rsidRPr="001D7890">
        <w:rPr>
          <w:rFonts w:ascii="Arial" w:eastAsia="Times New Roman" w:hAnsi="Arial" w:cs="Arial"/>
          <w:color w:val="000000"/>
          <w:szCs w:val="24"/>
        </w:rPr>
        <w:t>Nanfbox</w:t>
      </w:r>
      <w:proofErr w:type="spellEnd"/>
      <w:r w:rsidRPr="001D7890">
        <w:rPr>
          <w:rFonts w:ascii="Arial" w:eastAsia="Times New Roman" w:hAnsi="Arial" w:cs="Arial"/>
          <w:color w:val="000000"/>
          <w:szCs w:val="24"/>
        </w:rPr>
        <w:t xml:space="preserve"> (reverse primer, CCTGCAATATGAGACGCTCC), 13.5 µL DMSO and 2.25 µL </w:t>
      </w:r>
      <w:proofErr w:type="spellStart"/>
      <w:r w:rsidRPr="001D7890">
        <w:rPr>
          <w:rFonts w:ascii="Arial" w:eastAsia="Times New Roman" w:hAnsi="Arial" w:cs="Arial"/>
          <w:color w:val="000000"/>
          <w:szCs w:val="24"/>
        </w:rPr>
        <w:t>Taq</w:t>
      </w:r>
      <w:proofErr w:type="spellEnd"/>
      <w:r w:rsidRPr="001D7890">
        <w:rPr>
          <w:rFonts w:ascii="Arial" w:eastAsia="Times New Roman" w:hAnsi="Arial" w:cs="Arial"/>
          <w:color w:val="000000"/>
          <w:szCs w:val="24"/>
        </w:rPr>
        <w:t>; thermocycler protocol - Start at 95 °C for 120 seconds, then 29 cycles of denaturing (94 °C for 30 seconds), annealing (52 °C for 30 seconds) and extension (72 °C for 60 seconds) with a 2 minute final ext</w:t>
      </w:r>
      <w:r w:rsidR="00D4118A">
        <w:rPr>
          <w:rFonts w:ascii="Arial" w:eastAsia="Times New Roman" w:hAnsi="Arial" w:cs="Arial"/>
          <w:color w:val="000000"/>
          <w:szCs w:val="24"/>
        </w:rPr>
        <w:t>ension at 72 °C (Marek and Bond 2006; 2007; Marek and Moore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 2015). </w:t>
      </w:r>
    </w:p>
    <w:p w:rsidR="001D7890" w:rsidRPr="001D7890" w:rsidRDefault="001D7890" w:rsidP="001D7890">
      <w:pPr>
        <w:rPr>
          <w:rFonts w:ascii="Arial" w:eastAsia="Times New Roman" w:hAnsi="Arial" w:cs="Arial"/>
          <w:color w:val="000000"/>
          <w:szCs w:val="24"/>
        </w:rPr>
      </w:pPr>
    </w:p>
    <w:p w:rsidR="001D7890" w:rsidRPr="001D7890" w:rsidRDefault="001D7890" w:rsidP="001D7890">
      <w:pPr>
        <w:rPr>
          <w:rFonts w:ascii="Arial" w:eastAsia="Times New Roman" w:hAnsi="Arial" w:cs="Arial"/>
          <w:color w:val="000000"/>
          <w:szCs w:val="24"/>
        </w:rPr>
      </w:pPr>
      <w:r w:rsidRPr="001D7890">
        <w:rPr>
          <w:rFonts w:ascii="Arial" w:eastAsia="Times New Roman" w:hAnsi="Arial" w:cs="Arial"/>
          <w:i/>
          <w:iCs/>
          <w:color w:val="000000"/>
          <w:szCs w:val="24"/>
        </w:rPr>
        <w:t>Nannaria RNApol2 (5’ end)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: master mix </w:t>
      </w:r>
      <w:r w:rsidR="00F5477F">
        <w:rPr>
          <w:rFonts w:ascii="Arial" w:eastAsia="Times New Roman" w:hAnsi="Arial" w:cs="Arial"/>
          <w:color w:val="000000"/>
          <w:szCs w:val="24"/>
        </w:rPr>
        <w:t>–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 </w:t>
      </w:r>
      <w:r w:rsidR="00F5477F">
        <w:rPr>
          <w:rFonts w:ascii="Arial" w:eastAsia="Times New Roman" w:hAnsi="Arial" w:cs="Arial"/>
          <w:color w:val="000000"/>
          <w:szCs w:val="24"/>
        </w:rPr>
        <w:t>290.25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 µL water, 4</w:t>
      </w:r>
      <w:r w:rsidR="00F5477F">
        <w:rPr>
          <w:rFonts w:ascii="Arial" w:eastAsia="Times New Roman" w:hAnsi="Arial" w:cs="Arial"/>
          <w:color w:val="000000"/>
          <w:szCs w:val="24"/>
        </w:rPr>
        <w:t>5 µL dNTP’s, 45 µL 10X buffer, 22.</w:t>
      </w:r>
      <w:r w:rsidRPr="001D7890">
        <w:rPr>
          <w:rFonts w:ascii="Arial" w:eastAsia="Times New Roman" w:hAnsi="Arial" w:cs="Arial"/>
          <w:color w:val="000000"/>
          <w:szCs w:val="24"/>
        </w:rPr>
        <w:t>5 µL J-NanRNAPol2 (forward p</w:t>
      </w:r>
      <w:r w:rsidR="00F5477F">
        <w:rPr>
          <w:rFonts w:ascii="Arial" w:eastAsia="Times New Roman" w:hAnsi="Arial" w:cs="Arial"/>
          <w:color w:val="000000"/>
          <w:szCs w:val="24"/>
        </w:rPr>
        <w:t>rimer, CGTTGGGCAATTAATCCAGC), 22.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5 µL N-NanRNAPol2 (reverse primer, CGAACTCCTGATCTTCTGC), 13.5 µL DMSO and 2.25 µL </w:t>
      </w:r>
      <w:proofErr w:type="spellStart"/>
      <w:r w:rsidRPr="001D7890">
        <w:rPr>
          <w:rFonts w:ascii="Arial" w:eastAsia="Times New Roman" w:hAnsi="Arial" w:cs="Arial"/>
          <w:color w:val="000000"/>
          <w:szCs w:val="24"/>
        </w:rPr>
        <w:t>Taq</w:t>
      </w:r>
      <w:proofErr w:type="spellEnd"/>
      <w:r w:rsidRPr="001D7890">
        <w:rPr>
          <w:rFonts w:ascii="Arial" w:eastAsia="Times New Roman" w:hAnsi="Arial" w:cs="Arial"/>
          <w:color w:val="000000"/>
          <w:szCs w:val="24"/>
        </w:rPr>
        <w:t>; thermocycler protocol - Start at 95 °C for 120 seconds, then 29 cycles of denaturing (94 °C for 30 seconds), annealing (52 °C for 30 seconds) and extension (72 °C for 60 seconds) with a 2 minute final extension at 72 °C (Marek and Bo</w:t>
      </w:r>
      <w:r w:rsidR="00D4118A">
        <w:rPr>
          <w:rFonts w:ascii="Arial" w:eastAsia="Times New Roman" w:hAnsi="Arial" w:cs="Arial"/>
          <w:color w:val="000000"/>
          <w:szCs w:val="24"/>
        </w:rPr>
        <w:t>nd 2006; 2007; Marek and Moore</w:t>
      </w:r>
      <w:r w:rsidRPr="001D7890">
        <w:rPr>
          <w:rFonts w:ascii="Arial" w:eastAsia="Times New Roman" w:hAnsi="Arial" w:cs="Arial"/>
          <w:color w:val="000000"/>
          <w:szCs w:val="24"/>
        </w:rPr>
        <w:t xml:space="preserve"> 2015). </w:t>
      </w:r>
    </w:p>
    <w:p w:rsidR="00CE5BD7" w:rsidRDefault="00CE5BD7"/>
    <w:p w:rsidR="00D4118A" w:rsidRPr="009C463C" w:rsidRDefault="00D4118A" w:rsidP="00D4118A">
      <w:pPr>
        <w:rPr>
          <w:rFonts w:ascii="Arial" w:hAnsi="Arial" w:cs="Arial"/>
          <w:b/>
        </w:rPr>
      </w:pPr>
      <w:r w:rsidRPr="009C463C">
        <w:rPr>
          <w:rFonts w:ascii="Arial" w:hAnsi="Arial" w:cs="Arial"/>
          <w:b/>
        </w:rPr>
        <w:t>References</w:t>
      </w:r>
    </w:p>
    <w:p w:rsidR="00D4118A" w:rsidRDefault="00D4118A"/>
    <w:p w:rsidR="009B70FE" w:rsidRPr="009B70FE" w:rsidRDefault="009B70FE" w:rsidP="009B70FE">
      <w:pPr>
        <w:ind w:left="720" w:hanging="720"/>
        <w:rPr>
          <w:rFonts w:eastAsia="Times New Roman" w:cs="Times New Roman"/>
          <w:szCs w:val="24"/>
        </w:rPr>
      </w:pPr>
      <w:r w:rsidRPr="009B70FE">
        <w:rPr>
          <w:rFonts w:eastAsia="Times New Roman" w:cs="Times New Roman"/>
          <w:szCs w:val="24"/>
        </w:rPr>
        <w:t>Marek PE, Bond JE (2006) Phylogenetic systematics of the colorful, cyanide-producing millipedes of Appalachia (</w:t>
      </w:r>
      <w:proofErr w:type="spellStart"/>
      <w:r w:rsidRPr="009B70FE">
        <w:rPr>
          <w:rFonts w:eastAsia="Times New Roman" w:cs="Times New Roman"/>
          <w:szCs w:val="24"/>
        </w:rPr>
        <w:t>Polydesmida</w:t>
      </w:r>
      <w:proofErr w:type="spellEnd"/>
      <w:r w:rsidRPr="009B70FE">
        <w:rPr>
          <w:rFonts w:eastAsia="Times New Roman" w:cs="Times New Roman"/>
          <w:szCs w:val="24"/>
        </w:rPr>
        <w:t xml:space="preserve">, </w:t>
      </w:r>
      <w:proofErr w:type="spellStart"/>
      <w:r w:rsidRPr="009B70FE">
        <w:rPr>
          <w:rFonts w:eastAsia="Times New Roman" w:cs="Times New Roman"/>
          <w:szCs w:val="24"/>
        </w:rPr>
        <w:t>Xystodesmidae</w:t>
      </w:r>
      <w:proofErr w:type="spellEnd"/>
      <w:r w:rsidRPr="009B70FE">
        <w:rPr>
          <w:rFonts w:eastAsia="Times New Roman" w:cs="Times New Roman"/>
          <w:szCs w:val="24"/>
        </w:rPr>
        <w:t xml:space="preserve">, </w:t>
      </w:r>
      <w:proofErr w:type="spellStart"/>
      <w:r w:rsidRPr="009B70FE">
        <w:rPr>
          <w:rFonts w:eastAsia="Times New Roman" w:cs="Times New Roman"/>
          <w:szCs w:val="24"/>
        </w:rPr>
        <w:t>Apheloriini</w:t>
      </w:r>
      <w:proofErr w:type="spellEnd"/>
      <w:r w:rsidRPr="009B70FE">
        <w:rPr>
          <w:rFonts w:eastAsia="Times New Roman" w:cs="Times New Roman"/>
          <w:szCs w:val="24"/>
        </w:rPr>
        <w:t xml:space="preserve">) using a total evidence Bayesian approach. Molecular </w:t>
      </w:r>
      <w:proofErr w:type="spellStart"/>
      <w:r w:rsidRPr="009B70FE">
        <w:rPr>
          <w:rFonts w:eastAsia="Times New Roman" w:cs="Times New Roman"/>
          <w:szCs w:val="24"/>
        </w:rPr>
        <w:t>Phylogenetics</w:t>
      </w:r>
      <w:proofErr w:type="spellEnd"/>
      <w:r w:rsidRPr="009B70FE">
        <w:rPr>
          <w:rFonts w:eastAsia="Times New Roman" w:cs="Times New Roman"/>
          <w:szCs w:val="24"/>
        </w:rPr>
        <w:t xml:space="preserve"> and Evolution 41: 704–729. </w:t>
      </w:r>
      <w:hyperlink r:id="rId4" w:history="1">
        <w:r w:rsidRPr="009B70FE">
          <w:rPr>
            <w:rFonts w:eastAsia="Times New Roman" w:cs="Times New Roman"/>
            <w:color w:val="0000FF"/>
            <w:szCs w:val="24"/>
            <w:u w:val="single"/>
          </w:rPr>
          <w:t>https://doi.org/10.1016/j.ympev.2006.05.043</w:t>
        </w:r>
      </w:hyperlink>
      <w:r w:rsidRPr="009B70FE">
        <w:rPr>
          <w:rFonts w:eastAsia="Times New Roman" w:cs="Times New Roman"/>
          <w:szCs w:val="24"/>
        </w:rPr>
        <w:t xml:space="preserve"> </w:t>
      </w:r>
    </w:p>
    <w:p w:rsidR="009B70FE" w:rsidRPr="009B70FE" w:rsidRDefault="009B70FE" w:rsidP="009B70FE">
      <w:pPr>
        <w:ind w:left="720" w:hanging="720"/>
        <w:rPr>
          <w:rFonts w:eastAsia="Times New Roman" w:cs="Times New Roman"/>
          <w:szCs w:val="24"/>
        </w:rPr>
      </w:pPr>
      <w:r w:rsidRPr="009B70FE">
        <w:rPr>
          <w:rFonts w:eastAsia="Times New Roman" w:cs="Times New Roman"/>
          <w:szCs w:val="24"/>
        </w:rPr>
        <w:t xml:space="preserve">Marek PE, Bond JE (2007) A reassessment of </w:t>
      </w:r>
      <w:proofErr w:type="spellStart"/>
      <w:r w:rsidRPr="009B70FE">
        <w:rPr>
          <w:rFonts w:eastAsia="Times New Roman" w:cs="Times New Roman"/>
          <w:szCs w:val="24"/>
        </w:rPr>
        <w:t>apheloriine</w:t>
      </w:r>
      <w:proofErr w:type="spellEnd"/>
      <w:r w:rsidRPr="009B70FE">
        <w:rPr>
          <w:rFonts w:eastAsia="Times New Roman" w:cs="Times New Roman"/>
          <w:szCs w:val="24"/>
        </w:rPr>
        <w:t xml:space="preserve"> millipede phylogeny: additional taxa, Bayesian inference, and direct optimization (</w:t>
      </w:r>
      <w:proofErr w:type="spellStart"/>
      <w:r w:rsidRPr="009B70FE">
        <w:rPr>
          <w:rFonts w:eastAsia="Times New Roman" w:cs="Times New Roman"/>
          <w:szCs w:val="24"/>
        </w:rPr>
        <w:t>Polydesmida</w:t>
      </w:r>
      <w:proofErr w:type="spellEnd"/>
      <w:r w:rsidRPr="009B70FE">
        <w:rPr>
          <w:rFonts w:eastAsia="Times New Roman" w:cs="Times New Roman"/>
          <w:szCs w:val="24"/>
        </w:rPr>
        <w:t xml:space="preserve">: </w:t>
      </w:r>
      <w:proofErr w:type="spellStart"/>
      <w:r w:rsidRPr="009B70FE">
        <w:rPr>
          <w:rFonts w:eastAsia="Times New Roman" w:cs="Times New Roman"/>
          <w:szCs w:val="24"/>
        </w:rPr>
        <w:t>Xystodesmidae</w:t>
      </w:r>
      <w:proofErr w:type="spellEnd"/>
      <w:r w:rsidRPr="009B70FE">
        <w:rPr>
          <w:rFonts w:eastAsia="Times New Roman" w:cs="Times New Roman"/>
          <w:szCs w:val="24"/>
        </w:rPr>
        <w:t xml:space="preserve">). </w:t>
      </w:r>
      <w:proofErr w:type="spellStart"/>
      <w:r w:rsidRPr="009B70FE">
        <w:rPr>
          <w:rFonts w:eastAsia="Times New Roman" w:cs="Times New Roman"/>
          <w:szCs w:val="24"/>
        </w:rPr>
        <w:t>Zootaxa</w:t>
      </w:r>
      <w:proofErr w:type="spellEnd"/>
      <w:r w:rsidRPr="009B70FE">
        <w:rPr>
          <w:rFonts w:eastAsia="Times New Roman" w:cs="Times New Roman"/>
          <w:szCs w:val="24"/>
        </w:rPr>
        <w:t xml:space="preserve"> 1610: 27–39. </w:t>
      </w:r>
      <w:hyperlink r:id="rId5" w:history="1">
        <w:r w:rsidRPr="009B70FE">
          <w:rPr>
            <w:rFonts w:eastAsia="Times New Roman" w:cs="Times New Roman"/>
            <w:color w:val="0000FF"/>
            <w:szCs w:val="24"/>
            <w:u w:val="single"/>
          </w:rPr>
          <w:t>https://doi.org/10.11646/zootaxa.1610.1.2</w:t>
        </w:r>
      </w:hyperlink>
      <w:r w:rsidRPr="009B70FE">
        <w:rPr>
          <w:rFonts w:eastAsia="Times New Roman" w:cs="Times New Roman"/>
          <w:szCs w:val="24"/>
        </w:rPr>
        <w:t xml:space="preserve"> </w:t>
      </w:r>
    </w:p>
    <w:p w:rsidR="009B70FE" w:rsidRPr="009B70FE" w:rsidRDefault="009B70FE" w:rsidP="009B70FE">
      <w:pPr>
        <w:ind w:left="720" w:hanging="720"/>
        <w:rPr>
          <w:rFonts w:eastAsia="Times New Roman" w:cs="Times New Roman"/>
          <w:szCs w:val="24"/>
        </w:rPr>
      </w:pPr>
      <w:r w:rsidRPr="009B70FE">
        <w:rPr>
          <w:rFonts w:eastAsia="Times New Roman" w:cs="Times New Roman"/>
          <w:szCs w:val="24"/>
        </w:rPr>
        <w:t xml:space="preserve">Marek PE, Moore W (2015) Discovery of a glowing millipede in California and the gradual evolution of bioluminescence in </w:t>
      </w:r>
      <w:proofErr w:type="spellStart"/>
      <w:r w:rsidRPr="009B70FE">
        <w:rPr>
          <w:rFonts w:eastAsia="Times New Roman" w:cs="Times New Roman"/>
          <w:szCs w:val="24"/>
        </w:rPr>
        <w:t>Diplopoda</w:t>
      </w:r>
      <w:proofErr w:type="spellEnd"/>
      <w:r w:rsidRPr="009B70FE">
        <w:rPr>
          <w:rFonts w:eastAsia="Times New Roman" w:cs="Times New Roman"/>
          <w:szCs w:val="24"/>
        </w:rPr>
        <w:t xml:space="preserve">. Proceedings of the National Academy of Sciences. </w:t>
      </w:r>
      <w:hyperlink r:id="rId6" w:history="1">
        <w:r w:rsidRPr="009B70FE">
          <w:rPr>
            <w:rFonts w:eastAsia="Times New Roman" w:cs="Times New Roman"/>
            <w:color w:val="0000FF"/>
            <w:szCs w:val="24"/>
            <w:u w:val="single"/>
          </w:rPr>
          <w:t>https://doi.org/10.1073/pnas.1500014112</w:t>
        </w:r>
      </w:hyperlink>
      <w:r w:rsidRPr="009B70FE">
        <w:rPr>
          <w:rFonts w:eastAsia="Times New Roman" w:cs="Times New Roman"/>
          <w:szCs w:val="24"/>
        </w:rPr>
        <w:t xml:space="preserve"> </w:t>
      </w:r>
    </w:p>
    <w:p w:rsidR="009B70FE" w:rsidRPr="009B70FE" w:rsidRDefault="009B70FE" w:rsidP="009B70FE">
      <w:pPr>
        <w:ind w:left="720" w:hanging="720"/>
        <w:rPr>
          <w:rFonts w:eastAsia="Times New Roman" w:cs="Times New Roman"/>
          <w:szCs w:val="24"/>
        </w:rPr>
      </w:pPr>
      <w:r w:rsidRPr="009B70FE">
        <w:rPr>
          <w:rFonts w:eastAsia="Times New Roman" w:cs="Times New Roman"/>
          <w:szCs w:val="24"/>
        </w:rPr>
        <w:lastRenderedPageBreak/>
        <w:t xml:space="preserve">Means JC, Marek PE (2017) </w:t>
      </w:r>
      <w:proofErr w:type="gramStart"/>
      <w:r w:rsidRPr="009B70FE">
        <w:rPr>
          <w:rFonts w:eastAsia="Times New Roman" w:cs="Times New Roman"/>
          <w:szCs w:val="24"/>
        </w:rPr>
        <w:t>Is</w:t>
      </w:r>
      <w:proofErr w:type="gramEnd"/>
      <w:r w:rsidRPr="009B70FE">
        <w:rPr>
          <w:rFonts w:eastAsia="Times New Roman" w:cs="Times New Roman"/>
          <w:szCs w:val="24"/>
        </w:rPr>
        <w:t xml:space="preserve"> geography an accurate predictor of evolutionary history in the millipede family </w:t>
      </w:r>
      <w:proofErr w:type="spellStart"/>
      <w:r w:rsidRPr="009B70FE">
        <w:rPr>
          <w:rFonts w:eastAsia="Times New Roman" w:cs="Times New Roman"/>
          <w:szCs w:val="24"/>
        </w:rPr>
        <w:t>Xystodesmidae</w:t>
      </w:r>
      <w:proofErr w:type="spellEnd"/>
      <w:r w:rsidRPr="009B70FE">
        <w:rPr>
          <w:rFonts w:eastAsia="Times New Roman" w:cs="Times New Roman"/>
          <w:szCs w:val="24"/>
        </w:rPr>
        <w:t xml:space="preserve">? </w:t>
      </w:r>
      <w:proofErr w:type="spellStart"/>
      <w:r w:rsidRPr="009B70FE">
        <w:rPr>
          <w:rFonts w:eastAsia="Times New Roman" w:cs="Times New Roman"/>
          <w:szCs w:val="24"/>
        </w:rPr>
        <w:t>PeerJ</w:t>
      </w:r>
      <w:proofErr w:type="spellEnd"/>
      <w:r w:rsidRPr="009B70FE">
        <w:rPr>
          <w:rFonts w:eastAsia="Times New Roman" w:cs="Times New Roman"/>
          <w:szCs w:val="24"/>
        </w:rPr>
        <w:t xml:space="preserve"> 5. </w:t>
      </w:r>
      <w:hyperlink r:id="rId7" w:history="1">
        <w:r w:rsidRPr="009B70FE">
          <w:rPr>
            <w:rFonts w:eastAsia="Times New Roman" w:cs="Times New Roman"/>
            <w:color w:val="0000FF"/>
            <w:szCs w:val="24"/>
            <w:u w:val="single"/>
          </w:rPr>
          <w:t>https://doi.org/10.7717/peerj.3854</w:t>
        </w:r>
      </w:hyperlink>
      <w:r w:rsidRPr="009B70FE">
        <w:rPr>
          <w:rFonts w:eastAsia="Times New Roman" w:cs="Times New Roman"/>
          <w:szCs w:val="24"/>
        </w:rPr>
        <w:t xml:space="preserve"> </w:t>
      </w:r>
    </w:p>
    <w:p w:rsidR="00D4118A" w:rsidRDefault="00D4118A" w:rsidP="009B70FE"/>
    <w:sectPr w:rsidR="00D411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890"/>
    <w:rsid w:val="001D7890"/>
    <w:rsid w:val="007420CA"/>
    <w:rsid w:val="008311E2"/>
    <w:rsid w:val="009B70FE"/>
    <w:rsid w:val="00AE203F"/>
    <w:rsid w:val="00CE5BD7"/>
    <w:rsid w:val="00D4118A"/>
    <w:rsid w:val="00F5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F3DA1B-6182-4857-BE5C-07F0AC455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7890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EndNoteBibliography">
    <w:name w:val="EndNote Bibliography"/>
    <w:basedOn w:val="Normal"/>
    <w:rsid w:val="00D4118A"/>
    <w:rPr>
      <w:rFonts w:ascii="Arial" w:eastAsia="Arial" w:hAnsi="Arial" w:cs="Arial"/>
      <w:color w:val="000000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9B70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9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063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6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138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8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202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0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7717/peerj.385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73/pnas.1500014112" TargetMode="External"/><Relationship Id="rId5" Type="http://schemas.openxmlformats.org/officeDocument/2006/relationships/hyperlink" Target="https://doi.org/10.11646/zootaxa.1610.1.2" TargetMode="External"/><Relationship Id="rId4" Type="http://schemas.openxmlformats.org/officeDocument/2006/relationships/hyperlink" Target="https://doi.org/10.1016/j.ympev.2006.05.043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Hennen</dc:creator>
  <cp:keywords/>
  <dc:description/>
  <cp:lastModifiedBy>Derek Hennen</cp:lastModifiedBy>
  <cp:revision>6</cp:revision>
  <dcterms:created xsi:type="dcterms:W3CDTF">2021-04-07T13:55:00Z</dcterms:created>
  <dcterms:modified xsi:type="dcterms:W3CDTF">2021-07-13T18:06:00Z</dcterms:modified>
</cp:coreProperties>
</file>