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6F682" w14:textId="77777777" w:rsidR="00A237F8" w:rsidRDefault="00A237F8" w:rsidP="00A237F8">
      <w:pPr>
        <w:pStyle w:val="paragraph"/>
        <w:spacing w:before="0" w:beforeAutospacing="0" w:after="240" w:afterAutospacing="0"/>
        <w:textAlignment w:val="baseline"/>
        <w:rPr>
          <w:rFonts w:ascii="Arial" w:hAnsi="Arial" w:cs="Arial"/>
          <w:b/>
          <w:bCs/>
          <w:sz w:val="22"/>
          <w:szCs w:val="22"/>
        </w:rPr>
      </w:pPr>
      <w:bookmarkStart w:id="0" w:name="_Hlk152673439"/>
      <w:r>
        <w:rPr>
          <w:rFonts w:ascii="Arial" w:hAnsi="Arial" w:cs="Arial"/>
          <w:b/>
          <w:bCs/>
          <w:sz w:val="22"/>
          <w:szCs w:val="22"/>
        </w:rPr>
        <w:t>Supplemental material for: Outcomes of control and monitoring of a widespread riparian invader (</w:t>
      </w:r>
      <w:proofErr w:type="spellStart"/>
      <w:r>
        <w:rPr>
          <w:rFonts w:ascii="Arial" w:hAnsi="Arial" w:cs="Arial"/>
          <w:b/>
          <w:bCs/>
          <w:i/>
          <w:iCs/>
        </w:rPr>
        <w:t>Tamarix</w:t>
      </w:r>
      <w:proofErr w:type="spellEnd"/>
      <w:r>
        <w:rPr>
          <w:rFonts w:ascii="Arial" w:hAnsi="Arial" w:cs="Arial"/>
          <w:b/>
          <w:bCs/>
          <w:sz w:val="22"/>
          <w:szCs w:val="22"/>
        </w:rPr>
        <w:t xml:space="preserve"> spp.): a comparison of synthesis approaches </w:t>
      </w:r>
    </w:p>
    <w:p w14:paraId="63DBDB73" w14:textId="77777777" w:rsidR="00A237F8" w:rsidRDefault="00A237F8" w:rsidP="00A237F8">
      <w:pPr>
        <w:pStyle w:val="paragraph"/>
        <w:spacing w:before="0" w:beforeAutospacing="0" w:after="240" w:afterAutospacing="0"/>
        <w:textAlignment w:val="baseline"/>
        <w:rPr>
          <w:rFonts w:ascii="Arial" w:hAnsi="Arial" w:cs="Arial"/>
          <w:sz w:val="22"/>
          <w:szCs w:val="22"/>
        </w:rPr>
      </w:pPr>
      <w:r>
        <w:rPr>
          <w:rStyle w:val="normaltextrun"/>
          <w:rFonts w:ascii="Arial" w:hAnsi="Arial" w:cs="Arial"/>
          <w:color w:val="000000"/>
          <w:sz w:val="22"/>
          <w:szCs w:val="22"/>
          <w:shd w:val="clear" w:color="auto" w:fill="FFFFFF"/>
        </w:rPr>
        <w:t>Alexander R. B. Goetz,</w:t>
      </w:r>
      <w:r>
        <w:rPr>
          <w:rStyle w:val="normaltextrun"/>
          <w:rFonts w:ascii="Arial" w:hAnsi="Arial" w:cs="Arial"/>
          <w:color w:val="000000"/>
          <w:sz w:val="22"/>
          <w:szCs w:val="22"/>
          <w:shd w:val="clear" w:color="auto" w:fill="FFFFFF"/>
          <w:vertAlign w:val="superscript"/>
        </w:rPr>
        <w:t>1</w:t>
      </w:r>
      <w:r>
        <w:rPr>
          <w:rStyle w:val="normaltextrun"/>
          <w:rFonts w:ascii="Arial" w:hAnsi="Arial" w:cs="Arial"/>
          <w:color w:val="000000"/>
          <w:sz w:val="22"/>
          <w:szCs w:val="22"/>
          <w:shd w:val="clear" w:color="auto" w:fill="FFFFFF"/>
        </w:rPr>
        <w:t>*</w:t>
      </w:r>
      <w:r>
        <w:rPr>
          <w:rStyle w:val="normaltextrun"/>
          <w:rFonts w:ascii="Arial" w:hAnsi="Arial" w:cs="Arial"/>
          <w:color w:val="000000"/>
          <w:sz w:val="22"/>
          <w:szCs w:val="22"/>
          <w:shd w:val="clear" w:color="auto" w:fill="FFFFFF"/>
          <w:vertAlign w:val="superscript"/>
        </w:rPr>
        <w:t>†</w:t>
      </w:r>
      <w:r>
        <w:rPr>
          <w:rStyle w:val="normaltextrun"/>
          <w:rFonts w:ascii="Arial" w:hAnsi="Arial" w:cs="Arial"/>
          <w:color w:val="000000"/>
          <w:sz w:val="22"/>
          <w:szCs w:val="22"/>
          <w:shd w:val="clear" w:color="auto" w:fill="FFFFFF"/>
        </w:rPr>
        <w:t xml:space="preserve"> Eduardo González-Sargas,</w:t>
      </w:r>
      <w:r>
        <w:rPr>
          <w:rStyle w:val="normaltextrun"/>
          <w:rFonts w:ascii="Arial" w:hAnsi="Arial" w:cs="Arial"/>
          <w:color w:val="000000"/>
          <w:sz w:val="22"/>
          <w:szCs w:val="22"/>
          <w:shd w:val="clear" w:color="auto" w:fill="FFFFFF"/>
          <w:vertAlign w:val="superscript"/>
        </w:rPr>
        <w:t>2,4</w:t>
      </w:r>
      <w:r>
        <w:rPr>
          <w:rStyle w:val="normaltextrun"/>
          <w:rFonts w:ascii="Arial" w:hAnsi="Arial" w:cs="Arial"/>
          <w:color w:val="000000"/>
          <w:sz w:val="22"/>
          <w:szCs w:val="22"/>
          <w:shd w:val="clear" w:color="auto" w:fill="FFFFFF"/>
        </w:rPr>
        <w:t xml:space="preserve"> Mayra C. Vidal,</w:t>
      </w:r>
      <w:r>
        <w:rPr>
          <w:rStyle w:val="normaltextrun"/>
          <w:rFonts w:ascii="Arial" w:hAnsi="Arial" w:cs="Arial"/>
          <w:color w:val="000000"/>
          <w:sz w:val="22"/>
          <w:szCs w:val="22"/>
          <w:shd w:val="clear" w:color="auto" w:fill="FFFFFF"/>
          <w:vertAlign w:val="superscript"/>
        </w:rPr>
        <w:t>3</w:t>
      </w:r>
      <w:r>
        <w:rPr>
          <w:rStyle w:val="normaltextrun"/>
          <w:rFonts w:ascii="Arial" w:hAnsi="Arial" w:cs="Arial"/>
          <w:color w:val="000000"/>
          <w:sz w:val="22"/>
          <w:szCs w:val="22"/>
          <w:shd w:val="clear" w:color="auto" w:fill="FFFFFF"/>
        </w:rPr>
        <w:t xml:space="preserve"> Patrick B. Shafroth,</w:t>
      </w:r>
      <w:r>
        <w:rPr>
          <w:rStyle w:val="normaltextrun"/>
          <w:rFonts w:ascii="Arial" w:hAnsi="Arial" w:cs="Arial"/>
          <w:color w:val="000000"/>
          <w:sz w:val="22"/>
          <w:szCs w:val="22"/>
          <w:shd w:val="clear" w:color="auto" w:fill="FFFFFF"/>
          <w:vertAlign w:val="superscript"/>
        </w:rPr>
        <w:t>4</w:t>
      </w:r>
      <w:r>
        <w:rPr>
          <w:rStyle w:val="normaltextrun"/>
          <w:rFonts w:ascii="Arial" w:hAnsi="Arial" w:cs="Arial"/>
          <w:color w:val="000000"/>
          <w:sz w:val="22"/>
          <w:szCs w:val="22"/>
          <w:shd w:val="clear" w:color="auto" w:fill="FFFFFF"/>
        </w:rPr>
        <w:t xml:space="preserve"> Annie L. Henry,</w:t>
      </w:r>
      <w:r>
        <w:rPr>
          <w:rStyle w:val="normaltextrun"/>
          <w:rFonts w:ascii="Arial" w:hAnsi="Arial" w:cs="Arial"/>
          <w:color w:val="000000"/>
          <w:sz w:val="22"/>
          <w:szCs w:val="22"/>
          <w:shd w:val="clear" w:color="auto" w:fill="FFFFFF"/>
          <w:vertAlign w:val="superscript"/>
        </w:rPr>
        <w:t>1</w:t>
      </w:r>
      <w:r>
        <w:rPr>
          <w:rStyle w:val="normaltextrun"/>
          <w:rFonts w:ascii="Arial" w:hAnsi="Arial" w:cs="Arial"/>
          <w:color w:val="000000"/>
          <w:sz w:val="22"/>
          <w:szCs w:val="22"/>
          <w:shd w:val="clear" w:color="auto" w:fill="FFFFFF"/>
        </w:rPr>
        <w:t xml:space="preserve"> Anna A. Sher</w:t>
      </w:r>
      <w:r>
        <w:rPr>
          <w:rStyle w:val="normaltextrun"/>
          <w:rFonts w:ascii="Arial" w:hAnsi="Arial" w:cs="Arial"/>
          <w:color w:val="000000"/>
          <w:sz w:val="22"/>
          <w:szCs w:val="22"/>
          <w:shd w:val="clear" w:color="auto" w:fill="FFFFFF"/>
          <w:vertAlign w:val="superscript"/>
        </w:rPr>
        <w:t>1</w:t>
      </w:r>
      <w:r>
        <w:rPr>
          <w:rStyle w:val="eop"/>
          <w:rFonts w:ascii="Arial" w:hAnsi="Arial" w:cs="Arial"/>
          <w:color w:val="000000"/>
          <w:sz w:val="22"/>
          <w:szCs w:val="22"/>
        </w:rPr>
        <w:t> </w:t>
      </w:r>
    </w:p>
    <w:p w14:paraId="047EBF4B" w14:textId="77777777" w:rsidR="00A237F8" w:rsidRDefault="00A237F8" w:rsidP="00A237F8">
      <w:pPr>
        <w:pStyle w:val="paragraph"/>
        <w:spacing w:before="0" w:beforeAutospacing="0" w:after="240" w:afterAutospacing="0"/>
        <w:textAlignment w:val="baseline"/>
        <w:rPr>
          <w:rFonts w:ascii="Arial" w:hAnsi="Arial" w:cs="Arial"/>
          <w:sz w:val="22"/>
          <w:szCs w:val="22"/>
        </w:rPr>
      </w:pPr>
      <w:r>
        <w:rPr>
          <w:rStyle w:val="normaltextrun"/>
          <w:rFonts w:ascii="Arial" w:hAnsi="Arial" w:cs="Arial"/>
          <w:sz w:val="22"/>
          <w:szCs w:val="22"/>
          <w:vertAlign w:val="superscript"/>
        </w:rPr>
        <w:t>1</w:t>
      </w:r>
      <w:r>
        <w:rPr>
          <w:rStyle w:val="normaltextrun"/>
          <w:rFonts w:ascii="Arial" w:hAnsi="Arial" w:cs="Arial"/>
          <w:sz w:val="22"/>
          <w:szCs w:val="22"/>
        </w:rPr>
        <w:t>Department of Biological Sciences, University of Denver, Denver, CO, USA</w:t>
      </w:r>
    </w:p>
    <w:p w14:paraId="0D7D6509" w14:textId="77777777" w:rsidR="00A237F8" w:rsidRDefault="00A237F8" w:rsidP="00A237F8">
      <w:pPr>
        <w:pStyle w:val="paragraph"/>
        <w:spacing w:before="0" w:beforeAutospacing="0" w:after="240" w:afterAutospacing="0"/>
        <w:textAlignment w:val="baseline"/>
        <w:rPr>
          <w:rFonts w:ascii="Arial" w:hAnsi="Arial" w:cs="Arial"/>
          <w:sz w:val="22"/>
          <w:szCs w:val="22"/>
        </w:rPr>
      </w:pPr>
      <w:r>
        <w:rPr>
          <w:rStyle w:val="normaltextrun"/>
          <w:rFonts w:ascii="Arial" w:hAnsi="Arial" w:cs="Arial"/>
          <w:color w:val="000000"/>
          <w:sz w:val="22"/>
          <w:szCs w:val="22"/>
          <w:shd w:val="clear" w:color="auto" w:fill="FFFFFF"/>
          <w:vertAlign w:val="superscript"/>
        </w:rPr>
        <w:t>2</w:t>
      </w:r>
      <w:r>
        <w:rPr>
          <w:rStyle w:val="normaltextrun"/>
          <w:rFonts w:ascii="Arial" w:hAnsi="Arial" w:cs="Arial"/>
          <w:color w:val="000000"/>
          <w:sz w:val="22"/>
          <w:szCs w:val="22"/>
          <w:shd w:val="clear" w:color="auto" w:fill="FFFFFF"/>
        </w:rPr>
        <w:t>Department of Biology, Colorado State University, Fort Collins, CO, USA</w:t>
      </w:r>
      <w:r>
        <w:rPr>
          <w:rStyle w:val="eop"/>
          <w:rFonts w:ascii="Arial" w:hAnsi="Arial" w:cs="Arial"/>
          <w:color w:val="000000"/>
          <w:sz w:val="22"/>
          <w:szCs w:val="22"/>
        </w:rPr>
        <w:t> </w:t>
      </w:r>
    </w:p>
    <w:p w14:paraId="1E99B402" w14:textId="77777777" w:rsidR="00A237F8" w:rsidRDefault="00A237F8" w:rsidP="00A237F8">
      <w:pPr>
        <w:pStyle w:val="paragraph"/>
        <w:spacing w:before="0" w:beforeAutospacing="0" w:after="240" w:afterAutospacing="0"/>
        <w:textAlignment w:val="baseline"/>
        <w:rPr>
          <w:rFonts w:ascii="Arial" w:hAnsi="Arial" w:cs="Arial"/>
          <w:sz w:val="22"/>
          <w:szCs w:val="22"/>
        </w:rPr>
      </w:pPr>
      <w:r>
        <w:rPr>
          <w:rStyle w:val="normaltextrun"/>
          <w:rFonts w:ascii="Arial" w:hAnsi="Arial" w:cs="Arial"/>
          <w:color w:val="000000"/>
          <w:sz w:val="22"/>
          <w:szCs w:val="22"/>
          <w:shd w:val="clear" w:color="auto" w:fill="FFFFFF"/>
          <w:vertAlign w:val="superscript"/>
        </w:rPr>
        <w:t>3</w:t>
      </w:r>
      <w:r>
        <w:rPr>
          <w:rStyle w:val="normaltextrun"/>
          <w:rFonts w:ascii="Arial" w:hAnsi="Arial" w:cs="Arial"/>
          <w:color w:val="000000"/>
          <w:sz w:val="22"/>
          <w:szCs w:val="22"/>
          <w:shd w:val="clear" w:color="auto" w:fill="FFFFFF"/>
        </w:rPr>
        <w:t>Department of Biology, University of Massachusetts Boston, Boston, MA, USA</w:t>
      </w:r>
      <w:r>
        <w:rPr>
          <w:rStyle w:val="eop"/>
          <w:rFonts w:ascii="Arial" w:hAnsi="Arial" w:cs="Arial"/>
          <w:color w:val="000000"/>
          <w:sz w:val="22"/>
          <w:szCs w:val="22"/>
        </w:rPr>
        <w:t> </w:t>
      </w:r>
    </w:p>
    <w:p w14:paraId="099B6AE0" w14:textId="77777777" w:rsidR="00A237F8" w:rsidRDefault="00A237F8" w:rsidP="00A237F8">
      <w:pPr>
        <w:pStyle w:val="paragraph"/>
        <w:spacing w:before="0" w:beforeAutospacing="0" w:after="240" w:afterAutospacing="0"/>
        <w:textAlignment w:val="baseline"/>
        <w:rPr>
          <w:rFonts w:ascii="Arial" w:hAnsi="Arial" w:cs="Arial"/>
          <w:sz w:val="22"/>
          <w:szCs w:val="22"/>
        </w:rPr>
      </w:pPr>
      <w:r>
        <w:rPr>
          <w:rStyle w:val="normaltextrun"/>
          <w:rFonts w:ascii="Arial" w:hAnsi="Arial" w:cs="Arial"/>
          <w:color w:val="000000"/>
          <w:sz w:val="22"/>
          <w:szCs w:val="22"/>
          <w:shd w:val="clear" w:color="auto" w:fill="FFFFFF"/>
          <w:vertAlign w:val="superscript"/>
        </w:rPr>
        <w:t>4</w:t>
      </w:r>
      <w:r>
        <w:rPr>
          <w:rStyle w:val="normaltextrun"/>
          <w:rFonts w:ascii="Arial" w:hAnsi="Arial" w:cs="Arial"/>
          <w:color w:val="000000"/>
          <w:sz w:val="22"/>
          <w:szCs w:val="22"/>
          <w:shd w:val="clear" w:color="auto" w:fill="FFFFFF"/>
        </w:rPr>
        <w:t>U.S. Geological Survey, Fort Collins Science Center, Fort Collins, CO, USA</w:t>
      </w:r>
      <w:r>
        <w:rPr>
          <w:rStyle w:val="eop"/>
          <w:rFonts w:ascii="Arial" w:hAnsi="Arial" w:cs="Arial"/>
          <w:color w:val="000000"/>
          <w:sz w:val="22"/>
          <w:szCs w:val="22"/>
        </w:rPr>
        <w:t> </w:t>
      </w:r>
    </w:p>
    <w:p w14:paraId="2A5FC50E" w14:textId="77777777" w:rsidR="00A237F8" w:rsidRDefault="00A237F8" w:rsidP="00A237F8">
      <w:pPr>
        <w:pStyle w:val="paragraph"/>
        <w:spacing w:before="0" w:beforeAutospacing="0" w:after="240" w:afterAutospacing="0"/>
        <w:textAlignment w:val="baseline"/>
        <w:rPr>
          <w:rStyle w:val="eop"/>
          <w:color w:val="000000"/>
        </w:rPr>
      </w:pPr>
      <w:r>
        <w:rPr>
          <w:rStyle w:val="normaltextrun"/>
          <w:rFonts w:ascii="Arial" w:hAnsi="Arial" w:cs="Arial"/>
          <w:color w:val="000000"/>
          <w:sz w:val="22"/>
          <w:szCs w:val="22"/>
        </w:rPr>
        <w:t>*Corresponding author</w:t>
      </w:r>
      <w:r>
        <w:rPr>
          <w:rStyle w:val="eop"/>
          <w:rFonts w:ascii="Arial" w:hAnsi="Arial" w:cs="Arial"/>
          <w:color w:val="000000"/>
          <w:sz w:val="22"/>
          <w:szCs w:val="22"/>
        </w:rPr>
        <w:t>; email: arbgoetz@ucla.edu</w:t>
      </w:r>
    </w:p>
    <w:p w14:paraId="37176DF9" w14:textId="77777777" w:rsidR="00A237F8" w:rsidRDefault="00A237F8" w:rsidP="00A237F8">
      <w:pPr>
        <w:pStyle w:val="paragraph"/>
        <w:spacing w:before="0" w:beforeAutospacing="0" w:after="240" w:afterAutospacing="0"/>
        <w:textAlignment w:val="baseline"/>
      </w:pPr>
      <w:r>
        <w:rPr>
          <w:rStyle w:val="eop"/>
          <w:rFonts w:ascii="Arial" w:hAnsi="Arial" w:cs="Arial"/>
          <w:color w:val="000000"/>
          <w:sz w:val="22"/>
          <w:szCs w:val="22"/>
          <w:vertAlign w:val="superscript"/>
        </w:rPr>
        <w:t>†</w:t>
      </w:r>
      <w:r>
        <w:rPr>
          <w:rStyle w:val="eop"/>
          <w:rFonts w:ascii="Arial" w:hAnsi="Arial" w:cs="Arial"/>
          <w:color w:val="000000"/>
          <w:sz w:val="22"/>
          <w:szCs w:val="22"/>
        </w:rPr>
        <w:t>Current affiliation: Department of Ecology and Evolutionary Biology, University of California, Los Angeles, Los Angeles, CA, USA</w:t>
      </w:r>
    </w:p>
    <w:p w14:paraId="18E2B2AA" w14:textId="70FC81D9" w:rsidR="00A237F8" w:rsidRDefault="00A237F8" w:rsidP="00A237F8">
      <w:pPr>
        <w:rPr>
          <w:rFonts w:ascii="Arial" w:eastAsia="Arial" w:hAnsi="Arial" w:cs="Arial"/>
        </w:rPr>
      </w:pPr>
    </w:p>
    <w:p w14:paraId="1B0D9974" w14:textId="6B1335AE" w:rsidR="00755390" w:rsidRPr="00123B30" w:rsidRDefault="00755390" w:rsidP="00A237F8">
      <w:pPr>
        <w:rPr>
          <w:rFonts w:ascii="Arial" w:eastAsia="Arial" w:hAnsi="Arial" w:cs="Arial"/>
        </w:rPr>
      </w:pPr>
      <w:r>
        <w:rPr>
          <w:rFonts w:ascii="Arial" w:eastAsia="Arial" w:hAnsi="Arial" w:cs="Arial"/>
        </w:rPr>
        <w:t>Supplementary material - 1</w:t>
      </w:r>
    </w:p>
    <w:p w14:paraId="4BECE8FE" w14:textId="77777777" w:rsidR="00A237F8" w:rsidRPr="00123B30" w:rsidRDefault="00A237F8" w:rsidP="00A237F8">
      <w:pPr>
        <w:pStyle w:val="FigureTableTitle1"/>
        <w:rPr>
          <w:rFonts w:ascii="Arial" w:hAnsi="Arial" w:cs="Arial"/>
        </w:rPr>
      </w:pPr>
      <w:bookmarkStart w:id="1" w:name="_Ref132915214"/>
      <w:r w:rsidRPr="00123B30">
        <w:rPr>
          <w:rFonts w:ascii="Arial" w:hAnsi="Arial" w:cs="Arial"/>
          <w:sz w:val="22"/>
          <w:szCs w:val="22"/>
        </w:rPr>
        <w:t>Table S</w:t>
      </w:r>
      <w:r w:rsidRPr="00123B30">
        <w:rPr>
          <w:rFonts w:ascii="Arial" w:hAnsi="Arial" w:cs="Arial"/>
          <w:sz w:val="22"/>
          <w:szCs w:val="22"/>
        </w:rPr>
        <w:fldChar w:fldCharType="begin"/>
      </w:r>
      <w:r w:rsidRPr="00C44713">
        <w:rPr>
          <w:rFonts w:ascii="Arial" w:hAnsi="Arial" w:cs="Arial"/>
          <w:sz w:val="22"/>
          <w:szCs w:val="22"/>
        </w:rPr>
        <w:instrText xml:space="preserve"> SEQ S \* ARABIC </w:instrText>
      </w:r>
      <w:r w:rsidRPr="00123B30">
        <w:rPr>
          <w:rFonts w:ascii="Arial" w:hAnsi="Arial" w:cs="Arial"/>
          <w:sz w:val="22"/>
          <w:szCs w:val="22"/>
        </w:rPr>
        <w:fldChar w:fldCharType="separate"/>
      </w:r>
      <w:r w:rsidRPr="00123B30">
        <w:rPr>
          <w:rFonts w:ascii="Arial" w:hAnsi="Arial" w:cs="Arial"/>
          <w:noProof/>
          <w:sz w:val="22"/>
          <w:szCs w:val="22"/>
        </w:rPr>
        <w:t>1</w:t>
      </w:r>
      <w:r w:rsidRPr="00123B30">
        <w:rPr>
          <w:rFonts w:ascii="Arial" w:hAnsi="Arial" w:cs="Arial"/>
          <w:sz w:val="22"/>
          <w:szCs w:val="22"/>
        </w:rPr>
        <w:fldChar w:fldCharType="end"/>
      </w:r>
      <w:r w:rsidRPr="00123B30">
        <w:rPr>
          <w:rFonts w:ascii="Arial" w:hAnsi="Arial" w:cs="Arial"/>
          <w:sz w:val="22"/>
          <w:szCs w:val="22"/>
        </w:rPr>
        <w:t xml:space="preserve"> </w:t>
      </w:r>
      <w:bookmarkEnd w:id="1"/>
      <w:r w:rsidRPr="00123B30">
        <w:rPr>
          <w:rFonts w:ascii="Arial" w:hAnsi="Arial" w:cs="Arial"/>
          <w:sz w:val="22"/>
          <w:szCs w:val="22"/>
        </w:rPr>
        <w:t xml:space="preserve">: Timeline of important events (highlighted in grey) and publications on control, monitoring, and evaluation of </w:t>
      </w:r>
      <w:proofErr w:type="spellStart"/>
      <w:r w:rsidRPr="00123B30">
        <w:rPr>
          <w:rFonts w:ascii="Arial" w:hAnsi="Arial" w:cs="Arial"/>
          <w:i/>
          <w:iCs w:val="0"/>
          <w:sz w:val="22"/>
          <w:szCs w:val="22"/>
        </w:rPr>
        <w:t>Tamarix</w:t>
      </w:r>
      <w:proofErr w:type="spellEnd"/>
      <w:r w:rsidRPr="00123B30">
        <w:rPr>
          <w:rFonts w:ascii="Arial" w:hAnsi="Arial" w:cs="Arial"/>
          <w:sz w:val="22"/>
          <w:szCs w:val="22"/>
        </w:rPr>
        <w:t xml:space="preserve"> spp. in the American Southwest. Highly cited papers (&gt;200 citations as of November 2023) are listed, as are those that were the first to put forth a new framework for assessing </w:t>
      </w:r>
      <w:proofErr w:type="spellStart"/>
      <w:r w:rsidRPr="00123B30">
        <w:rPr>
          <w:rFonts w:ascii="Arial" w:hAnsi="Arial" w:cs="Arial"/>
          <w:i/>
          <w:iCs w:val="0"/>
          <w:sz w:val="22"/>
          <w:szCs w:val="22"/>
        </w:rPr>
        <w:t>Tamarix</w:t>
      </w:r>
      <w:proofErr w:type="spellEnd"/>
      <w:r w:rsidRPr="00123B30">
        <w:rPr>
          <w:rFonts w:ascii="Arial" w:hAnsi="Arial" w:cs="Arial"/>
          <w:sz w:val="22"/>
          <w:szCs w:val="22"/>
        </w:rPr>
        <w:t xml:space="preserve"> ecology or its management.</w:t>
      </w:r>
    </w:p>
    <w:tbl>
      <w:tblPr>
        <w:tblStyle w:val="TableGrid1"/>
        <w:tblW w:w="0" w:type="auto"/>
        <w:tblLook w:val="04A0" w:firstRow="1" w:lastRow="0" w:firstColumn="1" w:lastColumn="0" w:noHBand="0" w:noVBand="1"/>
      </w:tblPr>
      <w:tblGrid>
        <w:gridCol w:w="1419"/>
        <w:gridCol w:w="7211"/>
      </w:tblGrid>
      <w:tr w:rsidR="00A237F8" w:rsidRPr="00561908" w14:paraId="1E0E8FD4" w14:textId="77777777" w:rsidTr="00123B30">
        <w:trPr>
          <w:trHeight w:val="315"/>
        </w:trPr>
        <w:tc>
          <w:tcPr>
            <w:tcW w:w="1419" w:type="dxa"/>
            <w:noWrap/>
            <w:hideMark/>
          </w:tcPr>
          <w:p w14:paraId="5AB32BD1" w14:textId="77777777" w:rsidR="00A237F8" w:rsidRPr="00561908" w:rsidRDefault="00A237F8" w:rsidP="00123B30">
            <w:pPr>
              <w:rPr>
                <w:rFonts w:ascii="Arial" w:eastAsia="Calibri" w:hAnsi="Arial" w:cs="Arial"/>
              </w:rPr>
            </w:pPr>
            <w:r w:rsidRPr="00561908">
              <w:rPr>
                <w:rFonts w:ascii="Arial" w:eastAsia="Calibri" w:hAnsi="Arial" w:cs="Arial"/>
              </w:rPr>
              <w:t>Year</w:t>
            </w:r>
          </w:p>
        </w:tc>
        <w:tc>
          <w:tcPr>
            <w:tcW w:w="7211" w:type="dxa"/>
            <w:noWrap/>
            <w:hideMark/>
          </w:tcPr>
          <w:p w14:paraId="26A4DF12" w14:textId="77777777" w:rsidR="00A237F8" w:rsidRPr="00561908" w:rsidRDefault="00A237F8" w:rsidP="00123B30">
            <w:pPr>
              <w:rPr>
                <w:rFonts w:ascii="Arial" w:eastAsia="Calibri" w:hAnsi="Arial" w:cs="Arial"/>
              </w:rPr>
            </w:pPr>
            <w:r w:rsidRPr="00561908">
              <w:rPr>
                <w:rFonts w:ascii="Arial" w:eastAsia="Calibri" w:hAnsi="Arial" w:cs="Arial"/>
              </w:rPr>
              <w:t>Event or publication</w:t>
            </w:r>
          </w:p>
        </w:tc>
      </w:tr>
      <w:tr w:rsidR="00A237F8" w:rsidRPr="00561908" w14:paraId="1936B1B7" w14:textId="77777777" w:rsidTr="00123B30">
        <w:trPr>
          <w:trHeight w:val="315"/>
        </w:trPr>
        <w:tc>
          <w:tcPr>
            <w:tcW w:w="1419" w:type="dxa"/>
            <w:shd w:val="clear" w:color="auto" w:fill="D9D9D9" w:themeFill="background1" w:themeFillShade="D9"/>
            <w:noWrap/>
            <w:hideMark/>
          </w:tcPr>
          <w:p w14:paraId="2FB08D23" w14:textId="77777777" w:rsidR="00A237F8" w:rsidRPr="00561908" w:rsidRDefault="00A237F8" w:rsidP="00123B30">
            <w:pPr>
              <w:rPr>
                <w:rFonts w:ascii="Arial" w:eastAsia="Calibri" w:hAnsi="Arial" w:cs="Arial"/>
              </w:rPr>
            </w:pPr>
            <w:r w:rsidRPr="00561908">
              <w:rPr>
                <w:rFonts w:ascii="Arial" w:eastAsia="Calibri" w:hAnsi="Arial" w:cs="Arial"/>
              </w:rPr>
              <w:t>Early 1800s</w:t>
            </w:r>
          </w:p>
        </w:tc>
        <w:tc>
          <w:tcPr>
            <w:tcW w:w="7211" w:type="dxa"/>
            <w:shd w:val="clear" w:color="auto" w:fill="D9D9D9" w:themeFill="background1" w:themeFillShade="D9"/>
            <w:noWrap/>
            <w:hideMark/>
          </w:tcPr>
          <w:p w14:paraId="23233861" w14:textId="77777777" w:rsidR="00A237F8" w:rsidRPr="00561908" w:rsidRDefault="00A237F8" w:rsidP="00123B30">
            <w:pPr>
              <w:rPr>
                <w:rFonts w:ascii="Arial" w:eastAsia="Calibri" w:hAnsi="Arial" w:cs="Arial"/>
              </w:rPr>
            </w:pPr>
            <w:proofErr w:type="spellStart"/>
            <w:r w:rsidRPr="00561908">
              <w:rPr>
                <w:rFonts w:ascii="Arial" w:eastAsia="Calibri" w:hAnsi="Arial" w:cs="Arial"/>
                <w:i/>
                <w:iCs/>
              </w:rPr>
              <w:t>Tamarix</w:t>
            </w:r>
            <w:proofErr w:type="spellEnd"/>
            <w:r w:rsidRPr="00561908">
              <w:rPr>
                <w:rFonts w:ascii="Arial" w:eastAsia="Calibri" w:hAnsi="Arial" w:cs="Arial"/>
              </w:rPr>
              <w:t xml:space="preserve"> is introduced in North America cultivated as ornamental.</w:t>
            </w:r>
          </w:p>
        </w:tc>
      </w:tr>
      <w:tr w:rsidR="00A237F8" w:rsidRPr="00561908" w14:paraId="1B9F59A6" w14:textId="77777777" w:rsidTr="00123B30">
        <w:trPr>
          <w:trHeight w:val="315"/>
        </w:trPr>
        <w:tc>
          <w:tcPr>
            <w:tcW w:w="1419" w:type="dxa"/>
            <w:shd w:val="clear" w:color="auto" w:fill="D9D9D9" w:themeFill="background1" w:themeFillShade="D9"/>
            <w:noWrap/>
            <w:hideMark/>
          </w:tcPr>
          <w:p w14:paraId="624C701A" w14:textId="77777777" w:rsidR="00A237F8" w:rsidRPr="00561908" w:rsidRDefault="00A237F8" w:rsidP="00123B30">
            <w:pPr>
              <w:rPr>
                <w:rFonts w:ascii="Arial" w:eastAsia="Calibri" w:hAnsi="Arial" w:cs="Arial"/>
              </w:rPr>
            </w:pPr>
            <w:r w:rsidRPr="00561908">
              <w:rPr>
                <w:rFonts w:ascii="Arial" w:eastAsia="Calibri" w:hAnsi="Arial" w:cs="Arial"/>
              </w:rPr>
              <w:t>Late 1800s</w:t>
            </w:r>
          </w:p>
        </w:tc>
        <w:tc>
          <w:tcPr>
            <w:tcW w:w="7211" w:type="dxa"/>
            <w:shd w:val="clear" w:color="auto" w:fill="D9D9D9" w:themeFill="background1" w:themeFillShade="D9"/>
            <w:noWrap/>
            <w:hideMark/>
          </w:tcPr>
          <w:p w14:paraId="29757F3F" w14:textId="22EFA809" w:rsidR="00A237F8" w:rsidRPr="00561908" w:rsidRDefault="00A237F8" w:rsidP="00123B30">
            <w:pPr>
              <w:rPr>
                <w:rFonts w:ascii="Arial" w:eastAsia="Calibri" w:hAnsi="Arial" w:cs="Arial"/>
              </w:rPr>
            </w:pPr>
            <w:proofErr w:type="spellStart"/>
            <w:r w:rsidRPr="00561908">
              <w:rPr>
                <w:rFonts w:ascii="Arial" w:eastAsia="Calibri" w:hAnsi="Arial" w:cs="Arial"/>
                <w:i/>
                <w:iCs/>
              </w:rPr>
              <w:t>Tamarix</w:t>
            </w:r>
            <w:proofErr w:type="spellEnd"/>
            <w:r w:rsidRPr="00561908">
              <w:rPr>
                <w:rFonts w:ascii="Arial" w:eastAsia="Calibri" w:hAnsi="Arial" w:cs="Arial"/>
              </w:rPr>
              <w:t xml:space="preserve"> has escaped from cultivation and is present in western U.S. riparian zones but remains subordinate in the system for several decades in the first phase of the plant invasion. Anecdotal use for erosion control reported</w:t>
            </w:r>
            <w:r>
              <w:rPr>
                <w:rFonts w:ascii="Arial" w:eastAsia="Calibri" w:hAnsi="Arial" w:cs="Arial"/>
              </w:rPr>
              <w:t xml:space="preserve"> </w:t>
            </w:r>
            <w:r>
              <w:rPr>
                <w:rFonts w:ascii="Arial" w:eastAsia="Calibri" w:hAnsi="Arial" w:cs="Arial"/>
              </w:rPr>
              <w:fldChar w:fldCharType="begin" w:fldLock="1"/>
            </w:r>
            <w:r>
              <w:rPr>
                <w:rFonts w:ascii="Arial" w:eastAsia="Calibri" w:hAnsi="Arial" w:cs="Arial"/>
              </w:rPr>
              <w:instrText>ADDIN CSL_CITATION {"citationItems":[{"id":"ITEM-1","itemData":{"ISSN":"00225010","abstract":"Dispersal of biota by humans is a hallmark of civilization, but the results are often unforeseen and sometimes costly. Like kudzu vine in the American South, some examples become the stuff of regional folklore. In recent decades, “invasion biology,” conservation-motivated scientists and their allies have focused largely on the most negative outcomes and often promoted the perception that introduced species are monsters. However, cases of monstering by scientists preceded the rise of popular environmentalism. The story of tamarisk ( Tamarix spp.), flowering trees and shrubs imported to New England sometime before 1818, provides an example of scientific “monstering” and shows how slaying the monster, rather than allaying its impacts, became a goal in itself. Tamarisks’ drought and salt tolerance suggested usefulness for both coastal and inland erosion control, and politicians as well as academic and agency scientists promoted planting them in the southern Great Plains and Southwest. But when erosion control efforts in Arizona, New Mexico and Texas became entangled with water shortages, economic development during the Depression and copper mining for national defense during World War Two, federal hydrologists moved quickly to recast tamarisks as water-wasting foreign monsters. Demonstrating significant water salvage was difficult and became subsidiary to focusing on ways to eradicate the plants, and a federal interagency effort devoted specifically to the latter purpose was organized and continued until it, in turn, conflicted with regional environmental concerns in the late 1960s. [ABSTRACT FROM AUTHOR]","author":[{"dropping-particle":"","family":"Chew","given":"Matthew","non-dropping-particle":"","parse-names":false,"suffix":""}],"container-title":"Journal of the History of Biology","id":"ITEM-1","issue":"2","issued":{"date-parts":[["2009"]]},"note":"Accession Number: 42211243; Chew, Matthew 1; Email Address: anekeia@gmail.com; Affiliation:  1: Center for Biology and Society, Arizona State University, Tempe 85287-3301 USA; Source Info: Summer2009, Vol. 42 Issue 2, p231; Subject Term: SALTCEDAR; Subject Term: TAMARISKS; Subject Term: INVASIVE plants; Subject Term: SOIL conservation; Subject Term: PHREATOPHYTES; Subject Term: GROUNDWATER management; Subject Term: NEW Deal, 1933-1939; Subject Term: NEW Southwest (U.S.); Author-Supplied Keyword: erosion control; Author-Supplied Keyword: groundwater; Author-Supplied Keyword: hydrology; Author-Supplied Keyword: introduced species; Author-Supplied Keyword: monsters; Author-Supplied Keyword: new deal; Author-Supplied Keyword: phreato-phyte control; Author-Supplied Keyword: plant ecology; Author-Supplied Keyword: Reclamation Act; Author-Supplied Keyword: salt cedar; Author-Supplied Keyword: scientific practice; Author-Supplied Keyword: Southwestern United States; Author-Supplied Keyword: tamarisk; Number of Pages: 36p; Illustrations: 2 Black and White Photographs; Document Type: Article","page":"231-266","title":"The Monstering of Tamarisk: How Scientists made a Plant into a Problem.","type":"article-journal","volume":"42"},"uris":["http://www.mendeley.com/documents/?uuid=413dc8b6-204a-42ea-b300-122ac3f1a735"]}],"mendeley":{"formattedCitation":"(Chew 2009)","plainTextFormattedCitation":"(Chew 2009)","previouslyFormattedCitation":"(Chew 2009)"},"properties":{"noteIndex":0},"schema":"https://github.com/citation-style-language/schema/raw/master/csl-citation.json"}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(Chew 2009)</w:t>
            </w:r>
            <w:r>
              <w:rPr>
                <w:rFonts w:ascii="Arial" w:eastAsia="Calibri" w:hAnsi="Arial" w:cs="Arial"/>
              </w:rPr>
              <w:fldChar w:fldCharType="end"/>
            </w:r>
            <w:r w:rsidRPr="00561908">
              <w:rPr>
                <w:rFonts w:ascii="Arial" w:eastAsia="Calibri" w:hAnsi="Arial" w:cs="Arial"/>
              </w:rPr>
              <w:t>.</w:t>
            </w:r>
          </w:p>
        </w:tc>
      </w:tr>
      <w:tr w:rsidR="00A237F8" w:rsidRPr="00561908" w14:paraId="226DB9E5" w14:textId="77777777" w:rsidTr="00123B30">
        <w:trPr>
          <w:trHeight w:val="315"/>
        </w:trPr>
        <w:tc>
          <w:tcPr>
            <w:tcW w:w="1419" w:type="dxa"/>
            <w:shd w:val="clear" w:color="auto" w:fill="D9D9D9" w:themeFill="background1" w:themeFillShade="D9"/>
            <w:noWrap/>
            <w:hideMark/>
          </w:tcPr>
          <w:p w14:paraId="4B3EECE7" w14:textId="77777777" w:rsidR="00A237F8" w:rsidRPr="00561908" w:rsidRDefault="00A237F8" w:rsidP="00123B30">
            <w:pPr>
              <w:rPr>
                <w:rFonts w:ascii="Arial" w:eastAsia="Calibri" w:hAnsi="Arial" w:cs="Arial"/>
              </w:rPr>
            </w:pPr>
            <w:r w:rsidRPr="00561908">
              <w:rPr>
                <w:rFonts w:ascii="Arial" w:eastAsia="Calibri" w:hAnsi="Arial" w:cs="Arial"/>
              </w:rPr>
              <w:t>1930s</w:t>
            </w:r>
          </w:p>
        </w:tc>
        <w:tc>
          <w:tcPr>
            <w:tcW w:w="7211" w:type="dxa"/>
            <w:shd w:val="clear" w:color="auto" w:fill="D9D9D9" w:themeFill="background1" w:themeFillShade="D9"/>
            <w:noWrap/>
            <w:hideMark/>
          </w:tcPr>
          <w:p w14:paraId="48132B37" w14:textId="77777777" w:rsidR="00A237F8" w:rsidRPr="00561908" w:rsidRDefault="00A237F8" w:rsidP="00123B30">
            <w:pPr>
              <w:rPr>
                <w:rFonts w:ascii="Arial" w:eastAsia="Calibri" w:hAnsi="Arial" w:cs="Arial"/>
              </w:rPr>
            </w:pPr>
            <w:proofErr w:type="spellStart"/>
            <w:r w:rsidRPr="00561908">
              <w:rPr>
                <w:rFonts w:ascii="Arial" w:eastAsia="Calibri" w:hAnsi="Arial" w:cs="Arial"/>
                <w:i/>
                <w:iCs/>
              </w:rPr>
              <w:t>Tamarix</w:t>
            </w:r>
            <w:proofErr w:type="spellEnd"/>
            <w:r w:rsidRPr="00561908">
              <w:rPr>
                <w:rFonts w:ascii="Arial" w:eastAsia="Calibri" w:hAnsi="Arial" w:cs="Arial"/>
              </w:rPr>
              <w:t xml:space="preserve"> is used extensively to stabilize streambanks.</w:t>
            </w:r>
          </w:p>
        </w:tc>
      </w:tr>
      <w:tr w:rsidR="00A237F8" w:rsidRPr="00561908" w14:paraId="4774B604" w14:textId="77777777" w:rsidTr="00123B30">
        <w:trPr>
          <w:trHeight w:val="315"/>
        </w:trPr>
        <w:tc>
          <w:tcPr>
            <w:tcW w:w="1419" w:type="dxa"/>
            <w:shd w:val="clear" w:color="auto" w:fill="D9D9D9" w:themeFill="background1" w:themeFillShade="D9"/>
            <w:noWrap/>
            <w:hideMark/>
          </w:tcPr>
          <w:p w14:paraId="668142A8" w14:textId="77777777" w:rsidR="00A237F8" w:rsidRPr="00561908" w:rsidRDefault="00A237F8" w:rsidP="00123B30">
            <w:pPr>
              <w:rPr>
                <w:rFonts w:ascii="Arial" w:eastAsia="Calibri" w:hAnsi="Arial" w:cs="Arial"/>
              </w:rPr>
            </w:pPr>
            <w:r w:rsidRPr="00561908">
              <w:rPr>
                <w:rFonts w:ascii="Arial" w:eastAsia="Calibri" w:hAnsi="Arial" w:cs="Arial"/>
              </w:rPr>
              <w:t>1950s</w:t>
            </w:r>
          </w:p>
        </w:tc>
        <w:tc>
          <w:tcPr>
            <w:tcW w:w="7211" w:type="dxa"/>
            <w:shd w:val="clear" w:color="auto" w:fill="D9D9D9" w:themeFill="background1" w:themeFillShade="D9"/>
            <w:noWrap/>
            <w:hideMark/>
          </w:tcPr>
          <w:p w14:paraId="07E71747" w14:textId="7ABDB8A7" w:rsidR="00A237F8" w:rsidRPr="00561908" w:rsidRDefault="00A237F8" w:rsidP="00123B30">
            <w:pPr>
              <w:rPr>
                <w:rFonts w:ascii="Arial" w:eastAsia="Calibri" w:hAnsi="Arial" w:cs="Arial"/>
              </w:rPr>
            </w:pPr>
            <w:r w:rsidRPr="00561908">
              <w:rPr>
                <w:rFonts w:ascii="Arial" w:eastAsia="Calibri" w:hAnsi="Arial" w:cs="Arial"/>
              </w:rPr>
              <w:t xml:space="preserve">Mainly motivated by the goal of water salvage for human use, efforts to remove </w:t>
            </w:r>
            <w:proofErr w:type="spellStart"/>
            <w:r w:rsidRPr="00561908">
              <w:rPr>
                <w:rFonts w:ascii="Arial" w:eastAsia="Calibri" w:hAnsi="Arial" w:cs="Arial"/>
                <w:i/>
                <w:iCs/>
              </w:rPr>
              <w:t>Tamarix</w:t>
            </w:r>
            <w:proofErr w:type="spellEnd"/>
            <w:r w:rsidRPr="00561908">
              <w:rPr>
                <w:rFonts w:ascii="Arial" w:eastAsia="Calibri" w:hAnsi="Arial" w:cs="Arial"/>
              </w:rPr>
              <w:t xml:space="preserve"> from western floodplains begin </w:t>
            </w:r>
            <w:r>
              <w:rPr>
                <w:rFonts w:ascii="Arial" w:eastAsia="Calibri" w:hAnsi="Arial" w:cs="Arial"/>
              </w:rPr>
              <w:fldChar w:fldCharType="begin" w:fldLock="1"/>
            </w:r>
            <w:r>
              <w:rPr>
                <w:rFonts w:ascii="Arial" w:eastAsia="Calibri" w:hAnsi="Arial" w:cs="Arial"/>
              </w:rPr>
              <w:instrText>ADDIN CSL_CITATION {"citationItems":[{"id":"ITEM-1","itemData":{"ISSN":"00225010","abstract":"Dispersal of biota by humans is a hallmark of civilization, but the results are often unforeseen and sometimes costly. Like kudzu vine in the American South, some examples become the stuff of regional folklore. In recent decades, “invasion biology,” conservation-motivated scientists and their allies have focused largely on the most negative outcomes and often promoted the perception that introduced species are monsters. However, cases of monstering by scientists preceded the rise of popular environmentalism. The story of tamarisk ( Tamarix spp.), flowering trees and shrubs imported to New England sometime before 1818, provides an example of scientific “monstering” and shows how slaying the monster, rather than allaying its impacts, became a goal in itself. Tamarisks’ drought and salt tolerance suggested usefulness for both coastal and inland erosion control, and politicians as well as academic and agency scientists promoted planting them in the southern Great Plains and Southwest. But when erosion control efforts in Arizona, New Mexico and Texas became entangled with water shortages, economic development during the Depression and copper mining for national defense during World War Two, federal hydrologists moved quickly to recast tamarisks as water-wasting foreign monsters. Demonstrating significant water salvage was difficult and became subsidiary to focusing on ways to eradicate the plants, and a federal interagency effort devoted specifically to the latter purpose was organized and continued until it, in turn, conflicted with regional environmental concerns in the late 1960s. [ABSTRACT FROM AUTHOR]","author":[{"dropping-particle":"","family":"Chew","given":"Matthew","non-dropping-particle":"","parse-names":false,"suffix":""}],"container-title":"Journal of the History of Biology","id":"ITEM-1","issue":"2","issued":{"date-parts":[["2009"]]},"note":"Accession Number: 42211243; Chew, Matthew 1; Email Address: anekeia@gmail.com; Affiliation:  1: Center for Biology and Society, Arizona State University, Tempe 85287-3301 USA; Source Info: Summer2009, Vol. 42 Issue 2, p231; Subject Term: SALTCEDAR; Subject Term: TAMARISKS; Subject Term: INVASIVE plants; Subject Term: SOIL conservation; Subject Term: PHREATOPHYTES; Subject Term: GROUNDWATER management; Subject Term: NEW Deal, 1933-1939; Subject Term: NEW Southwest (U.S.); Author-Supplied Keyword: erosion control; Author-Supplied Keyword: groundwater; Author-Supplied Keyword: hydrology; Author-Supplied Keyword: introduced species; Author-Supplied Keyword: monsters; Author-Supplied Keyword: new deal; Author-Supplied Keyword: phreato-phyte control; Author-Supplied Keyword: plant ecology; Author-Supplied Keyword: Reclamation Act; Author-Supplied Keyword: salt cedar; Author-Supplied Keyword: scientific practice; Author-Supplied Keyword: Southwestern United States; Author-Supplied Keyword: tamarisk; Number of Pages: 36p; Illustrations: 2 Black and White Photographs; Document Type: Article","page":"231-266","title":"The Monstering of Tamarisk: How Scientists made a Plant into a Problem.","type":"article-journal","volume":"42"},"uris":["http://www.mendeley.com/documents/?uuid=413dc8b6-204a-42ea-b300-122ac3f1a735"]}],"mendeley":{"formattedCitation":"(Chew 2009)","plainTextFormattedCitation":"(Chew 2009)","previouslyFormattedCitation":"(Chew 2009)"},"properties":{"noteIndex":0},"schema":"https://github.com/citation-style-language/schema/raw/master/csl-citation.json"}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(Chew 2009)</w:t>
            </w:r>
            <w:r>
              <w:rPr>
                <w:rFonts w:ascii="Arial" w:eastAsia="Calibri" w:hAnsi="Arial" w:cs="Arial"/>
              </w:rPr>
              <w:fldChar w:fldCharType="end"/>
            </w:r>
            <w:r>
              <w:rPr>
                <w:rFonts w:ascii="Arial" w:eastAsia="Calibri" w:hAnsi="Arial" w:cs="Arial"/>
              </w:rPr>
              <w:t>.</w:t>
            </w:r>
          </w:p>
        </w:tc>
      </w:tr>
      <w:tr w:rsidR="00A237F8" w:rsidRPr="00561908" w14:paraId="36814916" w14:textId="77777777" w:rsidTr="00123B30">
        <w:trPr>
          <w:trHeight w:val="315"/>
        </w:trPr>
        <w:tc>
          <w:tcPr>
            <w:tcW w:w="1419" w:type="dxa"/>
            <w:noWrap/>
            <w:hideMark/>
          </w:tcPr>
          <w:p w14:paraId="63778C45" w14:textId="77777777" w:rsidR="00A237F8" w:rsidRPr="00561908" w:rsidRDefault="00A237F8" w:rsidP="00123B30">
            <w:pPr>
              <w:rPr>
                <w:rFonts w:ascii="Arial" w:eastAsia="Calibri" w:hAnsi="Arial" w:cs="Arial"/>
              </w:rPr>
            </w:pPr>
            <w:r w:rsidRPr="00561908">
              <w:rPr>
                <w:rFonts w:ascii="Arial" w:eastAsia="Calibri" w:hAnsi="Arial" w:cs="Arial"/>
              </w:rPr>
              <w:t>1965</w:t>
            </w:r>
          </w:p>
        </w:tc>
        <w:tc>
          <w:tcPr>
            <w:tcW w:w="7211" w:type="dxa"/>
            <w:noWrap/>
            <w:hideMark/>
          </w:tcPr>
          <w:p w14:paraId="7C4D2494" w14:textId="1056A15F" w:rsidR="00A237F8" w:rsidRPr="00561908" w:rsidRDefault="00A237F8" w:rsidP="00123B30">
            <w:pPr>
              <w:rPr>
                <w:rFonts w:ascii="Arial" w:eastAsia="Calibri" w:hAnsi="Arial" w:cs="Arial"/>
              </w:rPr>
            </w:pPr>
            <w:r w:rsidRPr="00561908">
              <w:rPr>
                <w:rFonts w:ascii="Arial" w:eastAsia="Calibri" w:hAnsi="Arial" w:cs="Arial"/>
              </w:rPr>
              <w:t xml:space="preserve">Robinson </w:t>
            </w:r>
            <w:r>
              <w:rPr>
                <w:rFonts w:ascii="Arial" w:eastAsia="Calibri" w:hAnsi="Arial" w:cs="Arial"/>
              </w:rPr>
              <w:fldChar w:fldCharType="begin" w:fldLock="1"/>
            </w:r>
            <w:r>
              <w:rPr>
                <w:rFonts w:ascii="Arial" w:eastAsia="Calibri" w:hAnsi="Arial" w:cs="Arial"/>
              </w:rPr>
              <w:instrText>ADDIN CSL_CITATION {"citationItems":[{"id":"ITEM-1","itemData":{"author":[{"dropping-particle":"","family":"Robinson","given":"Thomas William","non-dropping-particle":"","parse-names":false,"suffix":""}],"id":"ITEM-1","issued":{"date-parts":[["1965"]]},"publisher":"US Government Printing Office","title":"Spread and Areal Extent of Saltcedar [Tamarix] in the Western States","type":"book"},"uris":["http://www.mendeley.com/documents/?uuid=61d59672-c23c-4c58-899c-4c866ed6f84b"]}],"mendeley":{"formattedCitation":"(Robinson 1965)","manualFormatting":"(1965)","plainTextFormattedCitation":"(Robinson 1965)","previouslyFormattedCitation":"(Robinson 1965)"},"properties":{"noteIndex":0},"schema":"https://github.com/citation-style-language/schema/raw/master/csl-citation.json"}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(1965)</w:t>
            </w:r>
            <w:r>
              <w:rPr>
                <w:rFonts w:ascii="Arial" w:eastAsia="Calibri" w:hAnsi="Arial" w:cs="Arial"/>
              </w:rPr>
              <w:fldChar w:fldCharType="end"/>
            </w:r>
            <w:r w:rsidR="00B86144">
              <w:rPr>
                <w:rFonts w:ascii="Arial" w:eastAsia="Calibri" w:hAnsi="Arial" w:cs="Arial"/>
              </w:rPr>
              <w:t xml:space="preserve"> </w:t>
            </w:r>
            <w:r w:rsidRPr="00561908">
              <w:rPr>
                <w:rFonts w:ascii="Arial" w:eastAsia="Calibri" w:hAnsi="Arial" w:cs="Arial"/>
              </w:rPr>
              <w:t xml:space="preserve">estimates for the first time the spread and areal extent of </w:t>
            </w:r>
            <w:proofErr w:type="spellStart"/>
            <w:r w:rsidRPr="00561908">
              <w:rPr>
                <w:rFonts w:ascii="Arial" w:eastAsia="Calibri" w:hAnsi="Arial" w:cs="Arial"/>
                <w:i/>
                <w:iCs/>
              </w:rPr>
              <w:t>Tamarix</w:t>
            </w:r>
            <w:proofErr w:type="spellEnd"/>
            <w:r w:rsidRPr="00561908">
              <w:rPr>
                <w:rFonts w:ascii="Arial" w:eastAsia="Calibri" w:hAnsi="Arial" w:cs="Arial"/>
              </w:rPr>
              <w:t xml:space="preserve"> in western US, reporting an increase from 10,000 acres in 1920 to 900,000 in 1961. He calls for increased attention to its potential harm.</w:t>
            </w:r>
          </w:p>
        </w:tc>
      </w:tr>
      <w:tr w:rsidR="00A237F8" w:rsidRPr="00561908" w14:paraId="7783DC7C" w14:textId="77777777" w:rsidTr="00123B30">
        <w:trPr>
          <w:trHeight w:val="315"/>
        </w:trPr>
        <w:tc>
          <w:tcPr>
            <w:tcW w:w="1419" w:type="dxa"/>
            <w:noWrap/>
            <w:hideMark/>
          </w:tcPr>
          <w:p w14:paraId="18DDACA2" w14:textId="77777777" w:rsidR="00A237F8" w:rsidRPr="00561908" w:rsidRDefault="00A237F8" w:rsidP="00123B30">
            <w:pPr>
              <w:rPr>
                <w:rFonts w:ascii="Arial" w:eastAsia="Calibri" w:hAnsi="Arial" w:cs="Arial"/>
              </w:rPr>
            </w:pPr>
            <w:r w:rsidRPr="00561908">
              <w:rPr>
                <w:rFonts w:ascii="Arial" w:eastAsia="Calibri" w:hAnsi="Arial" w:cs="Arial"/>
              </w:rPr>
              <w:t>1967</w:t>
            </w:r>
          </w:p>
        </w:tc>
        <w:tc>
          <w:tcPr>
            <w:tcW w:w="7211" w:type="dxa"/>
            <w:noWrap/>
            <w:hideMark/>
          </w:tcPr>
          <w:p w14:paraId="0B347BF3" w14:textId="76B8ADA5" w:rsidR="00A237F8" w:rsidRPr="00561908" w:rsidRDefault="00A237F8" w:rsidP="00123B30">
            <w:pPr>
              <w:rPr>
                <w:rFonts w:ascii="Arial" w:eastAsia="Calibri" w:hAnsi="Arial" w:cs="Arial"/>
              </w:rPr>
            </w:pPr>
            <w:r w:rsidRPr="00561908">
              <w:rPr>
                <w:rFonts w:ascii="Arial" w:eastAsia="Calibri" w:hAnsi="Arial" w:cs="Arial"/>
              </w:rPr>
              <w:t xml:space="preserve">Baum </w:t>
            </w:r>
            <w:r w:rsidR="00B86144">
              <w:rPr>
                <w:rFonts w:ascii="Arial" w:eastAsia="Calibri" w:hAnsi="Arial" w:cs="Arial"/>
              </w:rPr>
              <w:fldChar w:fldCharType="begin" w:fldLock="1"/>
            </w:r>
            <w:r w:rsidR="00B86144">
              <w:rPr>
                <w:rFonts w:ascii="Arial" w:eastAsia="Calibri" w:hAnsi="Arial" w:cs="Arial"/>
              </w:rPr>
              <w:instrText>ADDIN CSL_CITATION {"citationItems":[{"id":"ITEM-1","itemData":{"author":[{"dropping-particle":"","family":"Baum","given":"Bernard R.","non-dropping-particle":"","parse-names":false,"suffix":""}],"container-title":"Baileya: A Quarterly Journal of Horticultural Taxonomy","id":"ITEM-1","issued":{"date-parts":[["1967"]]},"page":"19","title":"Introduced and naturalized tamarisks in the United States and Canada (Tamaricaceae)","type":"article-journal","volume":"15"},"uris":["http://www.mendeley.com/documents/?uuid=be007490-02a4-4bcb-9863-5d9b3403ad6e"]}],"mendeley":{"formattedCitation":"(Baum 1967)","manualFormatting":"(1967)","plainTextFormattedCitation":"(Baum 1967)","previouslyFormattedCitation":"(Baum 1967)"},"properties":{"noteIndex":0},"schema":"https://github.com/citation-style-language/schema/raw/master/csl-citation.json"}</w:instrText>
            </w:r>
            <w:r w:rsidR="00B86144">
              <w:rPr>
                <w:rFonts w:ascii="Arial" w:eastAsia="Calibri" w:hAnsi="Arial" w:cs="Arial"/>
              </w:rPr>
              <w:fldChar w:fldCharType="separate"/>
            </w:r>
            <w:r w:rsidR="00B86144" w:rsidRPr="00B86144">
              <w:rPr>
                <w:rFonts w:ascii="Arial" w:eastAsia="Calibri" w:hAnsi="Arial" w:cs="Arial"/>
                <w:noProof/>
              </w:rPr>
              <w:t>(1967)</w:t>
            </w:r>
            <w:r w:rsidR="00B86144">
              <w:rPr>
                <w:rFonts w:ascii="Arial" w:eastAsia="Calibri" w:hAnsi="Arial" w:cs="Arial"/>
              </w:rPr>
              <w:fldChar w:fldCharType="end"/>
            </w:r>
            <w:r w:rsidRPr="00561908">
              <w:rPr>
                <w:rFonts w:ascii="Arial" w:eastAsia="Calibri" w:hAnsi="Arial" w:cs="Arial"/>
              </w:rPr>
              <w:t xml:space="preserve"> publishes the first taxonomic description of the species. </w:t>
            </w:r>
          </w:p>
        </w:tc>
      </w:tr>
      <w:tr w:rsidR="00A237F8" w:rsidRPr="00561908" w14:paraId="2763CDF4" w14:textId="77777777" w:rsidTr="00123B30">
        <w:trPr>
          <w:trHeight w:val="315"/>
        </w:trPr>
        <w:tc>
          <w:tcPr>
            <w:tcW w:w="1419" w:type="dxa"/>
            <w:noWrap/>
            <w:hideMark/>
          </w:tcPr>
          <w:p w14:paraId="18AE7EA1" w14:textId="77777777" w:rsidR="00A237F8" w:rsidRPr="00561908" w:rsidRDefault="00A237F8" w:rsidP="00123B30">
            <w:pPr>
              <w:rPr>
                <w:rFonts w:ascii="Arial" w:eastAsia="Calibri" w:hAnsi="Arial" w:cs="Arial"/>
              </w:rPr>
            </w:pPr>
            <w:r w:rsidRPr="00561908">
              <w:rPr>
                <w:rFonts w:ascii="Arial" w:eastAsia="Calibri" w:hAnsi="Arial" w:cs="Arial"/>
              </w:rPr>
              <w:t>1980</w:t>
            </w:r>
          </w:p>
        </w:tc>
        <w:tc>
          <w:tcPr>
            <w:tcW w:w="7211" w:type="dxa"/>
            <w:noWrap/>
            <w:hideMark/>
          </w:tcPr>
          <w:p w14:paraId="793CAA72" w14:textId="175518A5" w:rsidR="00A237F8" w:rsidRPr="00561908" w:rsidRDefault="00A237F8" w:rsidP="00123B30">
            <w:pPr>
              <w:rPr>
                <w:rFonts w:ascii="Arial" w:eastAsia="Calibri" w:hAnsi="Arial" w:cs="Arial"/>
              </w:rPr>
            </w:pPr>
            <w:r w:rsidRPr="00561908">
              <w:rPr>
                <w:rFonts w:ascii="Arial" w:eastAsia="Calibri" w:hAnsi="Arial" w:cs="Arial"/>
              </w:rPr>
              <w:t xml:space="preserve">Everitt </w:t>
            </w:r>
            <w:r w:rsidR="00B86144">
              <w:rPr>
                <w:rFonts w:ascii="Arial" w:eastAsia="Calibri" w:hAnsi="Arial" w:cs="Arial"/>
              </w:rPr>
              <w:fldChar w:fldCharType="begin" w:fldLock="1"/>
            </w:r>
            <w:r w:rsidR="00B86144">
              <w:rPr>
                <w:rFonts w:ascii="Arial" w:eastAsia="Calibri" w:hAnsi="Arial" w:cs="Arial"/>
              </w:rPr>
              <w:instrText>ADDIN CSL_CITATION {"citationItems":[{"id":"ITEM-1","itemData":{"DOI":"10.1007/BF02473474","ISSN":"14320495","abstract":"Because of the interdiscriplinary requirements of studies of river-floodplain systems, development of this field in the United States has been slow, and much information needed for watershed and river-basin planning is not available. This is particularly true in the southwestern United States, where study has been further complicated within the last 50 years by the introduction and spread of saltcedar (Tamarix chinensis)which has occurred simultaneously with other independently generated environmental changes. The spread of saltcedar has been aided both by purposeful planding and by a fortuitous combination of events that has weakened the native ecosystem at the time that seeds of the new species have been made available, events that possibly include changes in such environmental parameters as flood frequency, channel stability, the season of the peak annual flood, water temperature and salinity, and sediment grain size. Careful research is needed to unravel and understand the network of relationships involved. Phenomena are arranged in chains of necessary sequence. ... If we examine any link of the chain, we find it has more than one antecedent and more than one consequent. ... Antecedent and consequent relations are therefore not merely linear, but constitute a plexus; and this plexus pervades nature. © 1980 Springer-Verlag New York Inc.","author":[{"dropping-particle":"","family":"Everitt","given":"Benjamin L.","non-dropping-particle":"","parse-names":false,"suffix":""}],"container-title":"Environmental Geology","id":"ITEM-1","issue":"2","issued":{"date-parts":[["1980"]]},"page":"77-84","title":"Ecology of saltcedar-A plea for research","type":"article-journal","volume":"3"},"uris":["http://www.mendeley.com/documents/?uuid=3f0a0775-cc7f-4171-b6c5-330b7d46425f"]}],"mendeley":{"formattedCitation":"(Everitt 1980)","manualFormatting":"(1980)","plainTextFormattedCitation":"(Everitt 1980)"},"properties":{"noteIndex":0},"schema":"https://github.com/citation-style-language/schema/raw/master/csl-citation.json"}</w:instrText>
            </w:r>
            <w:r w:rsidR="00B86144">
              <w:rPr>
                <w:rFonts w:ascii="Arial" w:eastAsia="Calibri" w:hAnsi="Arial" w:cs="Arial"/>
              </w:rPr>
              <w:fldChar w:fldCharType="separate"/>
            </w:r>
            <w:r w:rsidR="00B86144" w:rsidRPr="00B86144">
              <w:rPr>
                <w:rFonts w:ascii="Arial" w:eastAsia="Calibri" w:hAnsi="Arial" w:cs="Arial"/>
                <w:noProof/>
              </w:rPr>
              <w:t>(1980)</w:t>
            </w:r>
            <w:r w:rsidR="00B86144">
              <w:rPr>
                <w:rFonts w:ascii="Arial" w:eastAsia="Calibri" w:hAnsi="Arial" w:cs="Arial"/>
              </w:rPr>
              <w:fldChar w:fldCharType="end"/>
            </w:r>
            <w:r w:rsidRPr="00561908">
              <w:rPr>
                <w:rFonts w:ascii="Arial" w:eastAsia="Calibri" w:hAnsi="Arial" w:cs="Arial"/>
              </w:rPr>
              <w:t xml:space="preserve"> challenges the "widely held [...] devil theory" that sees </w:t>
            </w:r>
            <w:proofErr w:type="spellStart"/>
            <w:r w:rsidRPr="00561908">
              <w:rPr>
                <w:rFonts w:ascii="Arial" w:eastAsia="Calibri" w:hAnsi="Arial" w:cs="Arial"/>
                <w:i/>
                <w:iCs/>
              </w:rPr>
              <w:t>Tamarix</w:t>
            </w:r>
            <w:proofErr w:type="spellEnd"/>
            <w:r w:rsidRPr="00561908">
              <w:rPr>
                <w:rFonts w:ascii="Arial" w:eastAsia="Calibri" w:hAnsi="Arial" w:cs="Arial"/>
              </w:rPr>
              <w:t xml:space="preserve"> as capable of actively destroying preexisting plant communities and of occupying their territory and makes a plea for interdisciplinary research. </w:t>
            </w:r>
          </w:p>
        </w:tc>
      </w:tr>
      <w:tr w:rsidR="00A237F8" w:rsidRPr="00561908" w14:paraId="6DE64B4F" w14:textId="77777777" w:rsidTr="00123B30">
        <w:trPr>
          <w:trHeight w:val="315"/>
        </w:trPr>
        <w:tc>
          <w:tcPr>
            <w:tcW w:w="1419" w:type="dxa"/>
            <w:noWrap/>
            <w:hideMark/>
          </w:tcPr>
          <w:p w14:paraId="3AE0CAE7" w14:textId="77777777" w:rsidR="00A237F8" w:rsidRPr="00561908" w:rsidRDefault="00A237F8" w:rsidP="00123B30">
            <w:pPr>
              <w:rPr>
                <w:rFonts w:ascii="Arial" w:eastAsia="Calibri" w:hAnsi="Arial" w:cs="Arial"/>
              </w:rPr>
            </w:pPr>
            <w:r w:rsidRPr="00561908">
              <w:rPr>
                <w:rFonts w:ascii="Arial" w:eastAsia="Calibri" w:hAnsi="Arial" w:cs="Arial"/>
              </w:rPr>
              <w:t>1995</w:t>
            </w:r>
          </w:p>
        </w:tc>
        <w:tc>
          <w:tcPr>
            <w:tcW w:w="7211" w:type="dxa"/>
            <w:noWrap/>
            <w:hideMark/>
          </w:tcPr>
          <w:p w14:paraId="5CD4E1C6" w14:textId="083582BC" w:rsidR="00A237F8" w:rsidRPr="00561908" w:rsidRDefault="00A237F8" w:rsidP="00123B30">
            <w:pPr>
              <w:rPr>
                <w:rFonts w:ascii="Arial" w:eastAsia="Calibri" w:hAnsi="Arial" w:cs="Arial"/>
              </w:rPr>
            </w:pPr>
            <w:r w:rsidRPr="00561908">
              <w:rPr>
                <w:rFonts w:ascii="Arial" w:eastAsia="Calibri" w:hAnsi="Arial" w:cs="Arial"/>
              </w:rPr>
              <w:t xml:space="preserve">Busch and Smith </w:t>
            </w:r>
            <w:r>
              <w:rPr>
                <w:rFonts w:ascii="Arial" w:eastAsia="Calibri" w:hAnsi="Arial" w:cs="Arial"/>
              </w:rPr>
              <w:fldChar w:fldCharType="begin" w:fldLock="1"/>
            </w:r>
            <w:r>
              <w:rPr>
                <w:rFonts w:ascii="Arial" w:eastAsia="Calibri" w:hAnsi="Arial" w:cs="Arial"/>
              </w:rPr>
              <w:instrText>ADDIN CSL_CITATION {"citationItems":[{"id":"ITEM-1","itemData":{"author":[{"dropping-particle":"","family":"Busch","given":"David E.","non-dropping-particle":"","parse-names":false,"suffix":""},{"dropping-particle":"","family":"Smith","given":"Stanley D.","non-dropping-particle":"","parse-names":false,"suffix":""}],"container-title":"Ecological Monographs","id":"ITEM-1","issue":"3","issued":{"date-parts":[["1995"]]},"page":"347-370","title":"Mechanisms Associated With Decline of Woody Species in Riparian Ecosystems of the Southwestern U.S.","type":"article-journal","volume":"65"},"uris":["http://www.mendeley.com/documents/?uuid=c06a9b70-d6c6-4b7b-ab08-665ac68f80ae"]}],"mendeley":{"formattedCitation":"(Busch and Smith 1995)","manualFormatting":"(1995)","plainTextFormattedCitation":"(Busch and Smith 1995)","previouslyFormattedCitation":"(Busch and Smith 1995)"},"properties":{"noteIndex":0},"schema":"https://github.com/citation-style-language/schema/raw/master/csl-citation.json"}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(1995)</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publish findings that removal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promoted native </w:t>
            </w:r>
            <w:r>
              <w:rPr>
                <w:rFonts w:ascii="Arial" w:eastAsia="Calibri" w:hAnsi="Arial" w:cs="Arial"/>
                <w:i/>
                <w:iCs/>
              </w:rPr>
              <w:t xml:space="preserve">Salix </w:t>
            </w:r>
            <w:r>
              <w:rPr>
                <w:rFonts w:ascii="Arial" w:eastAsia="Calibri" w:hAnsi="Arial" w:cs="Arial"/>
              </w:rPr>
              <w:t>spp.</w:t>
            </w:r>
            <w:r w:rsidRPr="00561908">
              <w:rPr>
                <w:rFonts w:ascii="Arial" w:eastAsia="Calibri" w:hAnsi="Arial" w:cs="Arial"/>
              </w:rPr>
              <w:t xml:space="preserve"> trees.</w:t>
            </w:r>
          </w:p>
        </w:tc>
      </w:tr>
      <w:tr w:rsidR="00A237F8" w:rsidRPr="00561908" w14:paraId="1C312891" w14:textId="77777777" w:rsidTr="00123B30">
        <w:trPr>
          <w:trHeight w:val="315"/>
        </w:trPr>
        <w:tc>
          <w:tcPr>
            <w:tcW w:w="1419" w:type="dxa"/>
            <w:noWrap/>
            <w:hideMark/>
          </w:tcPr>
          <w:p w14:paraId="36E4027F" w14:textId="77777777" w:rsidR="00A237F8" w:rsidRPr="00561908" w:rsidRDefault="00A237F8" w:rsidP="00123B30">
            <w:pPr>
              <w:rPr>
                <w:rFonts w:ascii="Arial" w:eastAsia="Calibri" w:hAnsi="Arial" w:cs="Arial"/>
              </w:rPr>
            </w:pPr>
            <w:r w:rsidRPr="00561908">
              <w:rPr>
                <w:rFonts w:ascii="Arial" w:eastAsia="Calibri" w:hAnsi="Arial" w:cs="Arial"/>
              </w:rPr>
              <w:t>1996</w:t>
            </w:r>
          </w:p>
        </w:tc>
        <w:tc>
          <w:tcPr>
            <w:tcW w:w="7211" w:type="dxa"/>
            <w:noWrap/>
            <w:hideMark/>
          </w:tcPr>
          <w:p w14:paraId="64409215" w14:textId="31CF8935" w:rsidR="00A237F8" w:rsidRPr="00561908" w:rsidRDefault="00A237F8" w:rsidP="00123B30">
            <w:pPr>
              <w:rPr>
                <w:rFonts w:ascii="Arial" w:eastAsia="Calibri" w:hAnsi="Arial" w:cs="Arial"/>
              </w:rPr>
            </w:pPr>
            <w:r w:rsidRPr="00561908">
              <w:rPr>
                <w:rFonts w:ascii="Arial" w:eastAsia="Calibri" w:hAnsi="Arial" w:cs="Arial"/>
              </w:rPr>
              <w:t xml:space="preserve">Sala et al. </w:t>
            </w:r>
            <w:r>
              <w:rPr>
                <w:rFonts w:ascii="Arial" w:eastAsia="Calibri" w:hAnsi="Arial" w:cs="Arial"/>
              </w:rPr>
              <w:fldChar w:fldCharType="begin" w:fldLock="1"/>
            </w:r>
            <w:r>
              <w:rPr>
                <w:rFonts w:ascii="Arial" w:eastAsia="Calibri" w:hAnsi="Arial" w:cs="Arial"/>
              </w:rPr>
              <w:instrText>ADDIN CSL_CITATION {"citationItems":[{"id":"ITEM-1","itemData":{"ISSN":"0471956015","abstract":"The concept of biodiversity in grasslands in discussed with reference to the global distribution of grassland biodiversity, disturbance of grassland biodiversity, a conceptual model of the relationship between biodiversity and ecosystem function, and the impacts of changes in biodiversity on ecosystem function.","author":[{"dropping-particle":"","family":"Sala","given":"O. E.","non-dropping-particle":"","parse-names":false,"suffix":""},{"dropping-particle":"","family":"Lauenroth","given":"W. K.","non-dropping-particle":"","parse-names":false,"suffix":""},{"dropping-particle":"","family":"McNaughton","given":"S. J.","non-dropping-particle":"","parse-names":false,"suffix":""},{"dropping-particle":"","family":"Rusch","given":"G.","non-dropping-particle":"","parse-names":false,"suffix":""},{"dropping-particle":"","family":"XinShi","given":"Z.","non-dropping-particle":"","parse-names":false,"suffix":""},{"dropping-particle":"","family":"Mooney","given":"H. A.","non-dropping-particle":"","parse-names":false,"suffix":""},{"dropping-particle":"","family":"Cushman","given":"J. H.","non-dropping-particle":"","parse-names":false,"suffix":""},{"dropping-particle":"","family":"Medina","given":"E.","non-dropping-particle":"","parse-names":false,"suffix":""},{"dropping-particle":"","family":"Schulze","given":"E. D.","non-dropping-particle":"","parse-names":false,"suffix":""}],"container-title":"Functional roles of biodiversity: a global perspective.","id":"ITEM-1","issued":{"date-parts":[["1996"]]},"page":"129–149","title":"Biodiversity and ecosystem functioning in grasslands.","type":"article-journal"},"uris":["http://www.mendeley.com/documents/?uuid=87b14f00-c0cd-4969-a1d8-d90cd345063a"]}],"mendeley":{"formattedCitation":"(Sala et al. 1996)","manualFormatting":"(1996)","plainTextFormattedCitation":"(Sala et al. 1996)","previouslyFormattedCitation":"(Sala et al. 1996)"},"properties":{"noteIndex":0},"schema":"https://github.com/citation-style-language/schema/raw/master/csl-citation.json"}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(1996)</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measure very high evapotranspiration from </w:t>
            </w:r>
            <w:proofErr w:type="spellStart"/>
            <w:r w:rsidRPr="00561908">
              <w:rPr>
                <w:rFonts w:ascii="Arial" w:eastAsia="Calibri" w:hAnsi="Arial" w:cs="Arial"/>
                <w:i/>
                <w:iCs/>
              </w:rPr>
              <w:t>Tamarix</w:t>
            </w:r>
            <w:proofErr w:type="spellEnd"/>
            <w:r>
              <w:rPr>
                <w:rFonts w:ascii="Arial" w:eastAsia="Calibri" w:hAnsi="Arial" w:cs="Arial"/>
              </w:rPr>
              <w:t>.</w:t>
            </w:r>
          </w:p>
        </w:tc>
      </w:tr>
      <w:tr w:rsidR="00A237F8" w:rsidRPr="00561908" w14:paraId="79262F17" w14:textId="77777777" w:rsidTr="00123B30">
        <w:trPr>
          <w:trHeight w:val="315"/>
        </w:trPr>
        <w:tc>
          <w:tcPr>
            <w:tcW w:w="1419" w:type="dxa"/>
            <w:noWrap/>
            <w:hideMark/>
          </w:tcPr>
          <w:p w14:paraId="24EDFC99" w14:textId="77777777" w:rsidR="00A237F8" w:rsidRPr="00561908" w:rsidRDefault="00A237F8" w:rsidP="00123B30">
            <w:pPr>
              <w:rPr>
                <w:rFonts w:ascii="Arial" w:eastAsia="Calibri" w:hAnsi="Arial" w:cs="Arial"/>
              </w:rPr>
            </w:pPr>
            <w:r w:rsidRPr="00561908">
              <w:rPr>
                <w:rFonts w:ascii="Arial" w:eastAsia="Calibri" w:hAnsi="Arial" w:cs="Arial"/>
              </w:rPr>
              <w:lastRenderedPageBreak/>
              <w:t>1998</w:t>
            </w:r>
          </w:p>
        </w:tc>
        <w:tc>
          <w:tcPr>
            <w:tcW w:w="7211" w:type="dxa"/>
            <w:noWrap/>
            <w:hideMark/>
          </w:tcPr>
          <w:p w14:paraId="59003CB7" w14:textId="34175ABA" w:rsidR="00A237F8" w:rsidRPr="00561908" w:rsidRDefault="00A237F8" w:rsidP="00123B30">
            <w:pPr>
              <w:rPr>
                <w:rFonts w:ascii="Arial" w:eastAsia="Calibri" w:hAnsi="Arial" w:cs="Arial"/>
              </w:rPr>
            </w:pPr>
            <w:r w:rsidRPr="00561908">
              <w:rPr>
                <w:rFonts w:ascii="Arial" w:eastAsia="Calibri" w:hAnsi="Arial" w:cs="Arial"/>
              </w:rPr>
              <w:t xml:space="preserve">Di Tomaso </w:t>
            </w:r>
            <w:r>
              <w:rPr>
                <w:rFonts w:ascii="Arial" w:eastAsia="Calibri" w:hAnsi="Arial" w:cs="Arial"/>
              </w:rPr>
              <w:fldChar w:fldCharType="begin" w:fldLock="1"/>
            </w:r>
            <w:r>
              <w:rPr>
                <w:rFonts w:ascii="Arial" w:eastAsia="Calibri" w:hAnsi="Arial" w:cs="Arial"/>
              </w:rPr>
              <w:instrText>ADDIN CSL_CITATION {"citationItems":[{"id":"ITEM-1","itemData":{"DOI":"10.2307/3988397","ISBN":"0890-037X","ISSN":"0890-037X","PMID":"15775","abstract":"Eight species of Tamarix were first brought to North America in the 1800s from southern Europe or the eastern Mediterranean region. Many of the species escaped cultivation and by the 1920s invaded about 4,000 ha of riparian habitat in the southwestern United States. By 1987, it was estimated to have increased to at least 600,000 ha. The success of saltcedar in the southwest can be attributed to several factors related to its growth habit, reproduction, water usage, ability to tolerate highly saline conditions, and redistribution of salt from deep in the soil profile to the soil surface. The flowers produce small, numerous, and tufted seeds that can be carried long distances by wind or water. The seeds, however, have a short period of viability, and must come in contact with suitable moisture within a few weeks of dispersal. Unlike obligate phreatophytes, such as willows and cot- tonwoods, saltcedar is a facultative phreatophyte and is often able to survive under conditions where groundwater is inaccessible. The high evapotranspiration rates of saltcedar can lower the water table and alter the floristic composition in heavily infested areas. Mature plants are tolerant to a variety of stress conditions, including heat, cold, drought, flooding, and high salinity. Saltcedar is not an obligate halophyte but survives in areas where groundwater concentrations of dissolved solids can average 8,000 ppm or higher. In addition, the leaves of saltcedar excrete salts that are deposited on the soil surface under the plant, inhibiting germination and growth of competing species.","author":[{"dropping-particle":"","family":"Tomaso","given":"Joseph M.","non-dropping-particle":"Di","parse-names":false,"suffix":""}],"container-title":"Weed Technology","id":"ITEM-1","issue":"2","issued":{"date-parts":[["1998"]]},"page":"326-336","title":"Impact , Biology , and Ecology of Saltcedar (Tamarix spp.) in the Southwestern United States","type":"article-journal","volume":"12"},"uris":["http://www.mendeley.com/documents/?uuid=b17fd3d8-c973-463b-94cc-63908cb3aa12"]}],"mendeley":{"formattedCitation":"(Di Tomaso 1998)","manualFormatting":"(1998)","plainTextFormattedCitation":"(Di Tomaso 1998)","previouslyFormattedCitation":"(Di Tomaso 1998)"},"properties":{"noteIndex":0},"schema":"https://github.com/citation-style-language/schema/raw/master/csl-citation.json"}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(1998)</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summarizes the impact, biology, and ecology of invasive </w:t>
            </w:r>
            <w:proofErr w:type="spellStart"/>
            <w:r w:rsidRPr="00561908">
              <w:rPr>
                <w:rFonts w:ascii="Arial" w:eastAsia="Calibri" w:hAnsi="Arial" w:cs="Arial"/>
                <w:i/>
                <w:iCs/>
              </w:rPr>
              <w:t>Tamarix</w:t>
            </w:r>
            <w:proofErr w:type="spellEnd"/>
            <w:r w:rsidRPr="00561908">
              <w:rPr>
                <w:rFonts w:ascii="Arial" w:eastAsia="Calibri" w:hAnsi="Arial" w:cs="Arial"/>
              </w:rPr>
              <w:t xml:space="preserve"> spp. in the United States. Observed impacts in the peer reviewed literature included increased soil salinity, increased fire frequency, altered streambank dynamics through sedimentation, and changes in plant and animal communities.</w:t>
            </w:r>
          </w:p>
        </w:tc>
      </w:tr>
      <w:tr w:rsidR="00A237F8" w:rsidRPr="00561908" w14:paraId="564FB4CE" w14:textId="77777777" w:rsidTr="00123B30">
        <w:trPr>
          <w:trHeight w:val="315"/>
        </w:trPr>
        <w:tc>
          <w:tcPr>
            <w:tcW w:w="1419" w:type="dxa"/>
            <w:shd w:val="clear" w:color="auto" w:fill="FFFFFF" w:themeFill="background1"/>
            <w:noWrap/>
            <w:hideMark/>
          </w:tcPr>
          <w:p w14:paraId="48E973CD" w14:textId="77777777" w:rsidR="00A237F8" w:rsidRPr="00561908" w:rsidRDefault="00A237F8" w:rsidP="00123B30">
            <w:pPr>
              <w:rPr>
                <w:rFonts w:ascii="Arial" w:eastAsia="Calibri" w:hAnsi="Arial" w:cs="Arial"/>
              </w:rPr>
            </w:pPr>
            <w:r w:rsidRPr="00561908">
              <w:rPr>
                <w:rFonts w:ascii="Arial" w:eastAsia="Calibri" w:hAnsi="Arial" w:cs="Arial"/>
              </w:rPr>
              <w:t>1998</w:t>
            </w:r>
          </w:p>
        </w:tc>
        <w:tc>
          <w:tcPr>
            <w:tcW w:w="7211" w:type="dxa"/>
            <w:shd w:val="clear" w:color="auto" w:fill="FFFFFF" w:themeFill="background1"/>
            <w:noWrap/>
            <w:hideMark/>
          </w:tcPr>
          <w:p w14:paraId="3F0C4F6C" w14:textId="1378E7CC" w:rsidR="00A237F8" w:rsidRPr="00561908" w:rsidRDefault="00A237F8" w:rsidP="00123B30">
            <w:pPr>
              <w:rPr>
                <w:rFonts w:ascii="Arial" w:eastAsia="Calibri" w:hAnsi="Arial" w:cs="Arial"/>
              </w:rPr>
            </w:pPr>
            <w:r w:rsidRPr="00561908">
              <w:rPr>
                <w:rFonts w:ascii="Arial" w:eastAsia="Calibri" w:hAnsi="Arial" w:cs="Arial"/>
              </w:rPr>
              <w:t xml:space="preserve">Stromberg </w:t>
            </w:r>
            <w:r>
              <w:rPr>
                <w:rFonts w:ascii="Arial" w:eastAsia="Calibri" w:hAnsi="Arial" w:cs="Arial"/>
              </w:rPr>
              <w:fldChar w:fldCharType="begin" w:fldLock="1"/>
            </w:r>
            <w:r>
              <w:rPr>
                <w:rFonts w:ascii="Arial" w:eastAsia="Calibri" w:hAnsi="Arial" w:cs="Arial"/>
              </w:rPr>
              <w:instrText>ADDIN CSL_CITATION {"citationItems":[{"id":"ITEM-1","itemData":{"author":[{"dropping-particle":"","family":"Stromberg","given":"J","non-dropping-particle":"","parse-names":false,"suffix":""}],"container-title":"Journal of Arid Environments","id":"ITEM-1","issued":{"date-parts":[["1998"]]},"page":"133-155","title":"Dynamics of Fremont cottonwood (&lt;i&gt;Populus fremontii&lt;/i&gt;) and saltcedar (&lt;i&gt;Tamarix chinensis&lt;/i&gt;) populations along the San Pedro River, Arizona","type":"article-journal","volume":"40"},"uris":["http://www.mendeley.com/documents/?uuid=59626690-2db2-45dc-8da9-7195cb473875"]}],"mendeley":{"formattedCitation":"(Stromberg 1998)","manualFormatting":"(1998)","plainTextFormattedCitation":"(Stromberg 1998)","previouslyFormattedCitation":"(Stromberg 1998)"},"properties":{"noteIndex":0},"schema":"https://github.com/citation-style-language/schema/raw/master/csl-citation.json"}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(1998)</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documents dynamics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populations on the San Pedro River and suggests that groundwater decline contributes to its spread. </w:t>
            </w:r>
          </w:p>
        </w:tc>
      </w:tr>
      <w:tr w:rsidR="00A237F8" w:rsidRPr="00561908" w14:paraId="78695C4D" w14:textId="77777777" w:rsidTr="00123B30">
        <w:trPr>
          <w:trHeight w:val="315"/>
        </w:trPr>
        <w:tc>
          <w:tcPr>
            <w:tcW w:w="1419" w:type="dxa"/>
            <w:shd w:val="clear" w:color="auto" w:fill="D9D9D9" w:themeFill="background1" w:themeFillShade="D9"/>
            <w:noWrap/>
            <w:hideMark/>
          </w:tcPr>
          <w:p w14:paraId="4AD8231E" w14:textId="77777777" w:rsidR="00A237F8" w:rsidRPr="00561908" w:rsidRDefault="00A237F8" w:rsidP="00123B30">
            <w:pPr>
              <w:rPr>
                <w:rFonts w:ascii="Arial" w:eastAsia="Calibri" w:hAnsi="Arial" w:cs="Arial"/>
              </w:rPr>
            </w:pPr>
            <w:r w:rsidRPr="00561908">
              <w:rPr>
                <w:rFonts w:ascii="Arial" w:eastAsia="Calibri" w:hAnsi="Arial" w:cs="Arial"/>
              </w:rPr>
              <w:t>1999</w:t>
            </w:r>
          </w:p>
        </w:tc>
        <w:tc>
          <w:tcPr>
            <w:tcW w:w="7211" w:type="dxa"/>
            <w:shd w:val="clear" w:color="auto" w:fill="D9D9D9" w:themeFill="background1" w:themeFillShade="D9"/>
            <w:noWrap/>
            <w:hideMark/>
          </w:tcPr>
          <w:p w14:paraId="60C81F65" w14:textId="77777777" w:rsidR="00A237F8" w:rsidRPr="00561908" w:rsidRDefault="00A237F8" w:rsidP="00123B30">
            <w:pPr>
              <w:rPr>
                <w:rFonts w:ascii="Arial" w:eastAsia="Calibri" w:hAnsi="Arial" w:cs="Arial"/>
              </w:rPr>
            </w:pPr>
            <w:r w:rsidRPr="00561908">
              <w:rPr>
                <w:rFonts w:ascii="Arial" w:eastAsia="Calibri" w:hAnsi="Arial" w:cs="Arial"/>
              </w:rPr>
              <w:t xml:space="preserve">The non-profit organization Tamarisk Coalition is created by recreational boaters and other citizens concerned about the replacement of salicaceous forests by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in the western US. Their mission was to “restore riparian lands in the West through education and technical assistance.” The organization achieved legal status as a 501(c)3 nonprofit organization in May 2002.</w:t>
            </w:r>
          </w:p>
        </w:tc>
      </w:tr>
      <w:tr w:rsidR="00A237F8" w:rsidRPr="00561908" w14:paraId="1973C6F0" w14:textId="77777777" w:rsidTr="00123B30">
        <w:trPr>
          <w:trHeight w:val="315"/>
        </w:trPr>
        <w:tc>
          <w:tcPr>
            <w:tcW w:w="1419" w:type="dxa"/>
            <w:noWrap/>
            <w:hideMark/>
          </w:tcPr>
          <w:p w14:paraId="7D06E46A" w14:textId="77777777" w:rsidR="00A237F8" w:rsidRPr="00561908" w:rsidRDefault="00A237F8" w:rsidP="00123B30">
            <w:pPr>
              <w:rPr>
                <w:rFonts w:ascii="Arial" w:eastAsia="Calibri" w:hAnsi="Arial" w:cs="Arial"/>
              </w:rPr>
            </w:pPr>
            <w:r w:rsidRPr="00561908">
              <w:rPr>
                <w:rFonts w:ascii="Arial" w:eastAsia="Calibri" w:hAnsi="Arial" w:cs="Arial"/>
              </w:rPr>
              <w:t>2000-2003</w:t>
            </w:r>
          </w:p>
        </w:tc>
        <w:tc>
          <w:tcPr>
            <w:tcW w:w="7211" w:type="dxa"/>
            <w:noWrap/>
            <w:hideMark/>
          </w:tcPr>
          <w:p w14:paraId="0C75ACD3" w14:textId="30E9A4A3" w:rsidR="00A237F8" w:rsidRPr="00561908" w:rsidRDefault="00A237F8" w:rsidP="00123B30">
            <w:pPr>
              <w:rPr>
                <w:rFonts w:ascii="Arial" w:eastAsia="Calibri" w:hAnsi="Arial" w:cs="Arial"/>
              </w:rPr>
            </w:pPr>
            <w:r>
              <w:rPr>
                <w:rFonts w:ascii="Arial" w:eastAsia="Calibri" w:hAnsi="Arial" w:cs="Arial"/>
              </w:rPr>
              <w:fldChar w:fldCharType="begin" w:fldLock="1"/>
            </w:r>
            <w:r>
              <w:rPr>
                <w:rFonts w:ascii="Arial" w:eastAsia="Calibri" w:hAnsi="Arial" w:cs="Arial"/>
              </w:rPr>
              <w:instrText>ADDIN CSL_CITATION {"citationItems":[{"id":"ITEM-1","itemData":{"DOI":"10.1046/j.1523-1739.2000.99306.x","ISSN":"08888892","abstract":"Changes in historical disturbance regimes have been shown to facilitate non-native plant invasions, but reinstatement of disturbance can be successful only if native colonizers are able to outcompete colonizing invasives. Reintroduction of flooding in the southwestern United States is being promoted as a means of reestablishing Populus deltoides subsp. wislizenii, but flooding can also promote establishment of an introduced, invasive species, Tamarix ramosissima. We investigated competition between Populus and Tamarix at the seedling stage to aid in characterizing the process by which Tamarix may invade and to determine the potential ability of Populus to establish itself with competitive pressure from Tamarix. We planted seedlings of Tamarix and Populus in five ratios at three densities for a total of 15 treatments. The growth response of each species was measured in terms of height, above-ground biomass, and tissue concentrations of nitrogen and phosphorous. These measurements across treatments were modeled as three-dimensional response surfaces. For both species, Populus density was more important than Tamarix density for determining growth response. Both species were negatively affected by increasing numbers of Populus seedlings. Due to the larger size of the native Populus, we predict that its superior competitive ability can lead to its dominance when conditions allow native establishment. Our results suggest that even in the presence of an invader that positively responds to disturbance, reestablishment of historical flooding regimes and post-flood hydrology can restore this ecosystem by promoting its dominant plant species.","author":[{"dropping-particle":"","family":"Sher","given":"Anna A.","non-dropping-particle":"","parse-names":false,"suffix":""},{"dropping-particle":"","family":"Marshall","given":"Diane L.","non-dropping-particle":"","parse-names":false,"suffix":""},{"dropping-particle":"","family":"Gilbert","given":"Steven A.","non-dropping-particle":"","parse-names":false,"suffix":""}],"container-title":"Conservation Biology","id":"ITEM-1","issue":"6","issued":{"date-parts":[["2000"]]},"page":"1744-1754","title":"Competition between native Populus deltoides and invasive Tamarix ramosissima and the implications for reestablishing flooding disturbance","type":"article-journal","volume":"14"},"uris":["http://www.mendeley.com/documents/?uuid=e3d01357-eed7-4f48-b865-10cbcf7c544b"]},{"id":"ITEM-2","itemData":{"DOI":"10.3732/ajb.90.3.413","ISSN":"00029122","abstract":"Populus deltoides subsp. wislizinii (Salicaceae), a cottonwood native to the Middle Rio Grande of New Mexico, must potentially compete against exotic Tamarix ramosissima (Tamaricaceae) during establishment after flooding. We investigated competitive interactions between seedlings of Tamarix and Populus in two substrates representing field textures and declining (i.e., draw-down) or stagnant water tables. The experiment was performed using a full-additive series design and interpreted with response surface models for each species. As reflected in both aboveground mass and height, Populus suppressed aboveground growth of Tamarix across all treatments, whereas competitive effects of Tamarix against Populus could only be seen at low Populus densities. Clay substrates with draw-down stimulated the greatest growth and created the most intense competitive environment for both species. Tamarix was competitively suppressed in every substrate tested, with the weakest response in sand with no draw-down, where growth of Populus was poorest. These results suggest that stream flow management that promotes Populus establishment could also aid in controlling Tamarix invasion across a range of substrates.","author":[{"dropping-particle":"","family":"Sher","given":"Anna A.","non-dropping-particle":"","parse-names":false,"suffix":""},{"dropping-particle":"","family":"Marshall","given":"Diane L.","non-dropping-particle":"","parse-names":false,"suffix":""}],"container-title":"American Journal of Botany","id":"ITEM-2","issue":"3","issued":{"date-parts":[["2003"]]},"page":"413-422","title":"Seedling competition between native Populus deltoides (Salicaceae) and exotic Tamarix ramosissima (Tamaricaceae) across water regimes and substrate types","type":"article-journal","volume":"90"},"uris":["http://www.mendeley.com/documents/?uuid=1cb98e34-4cac-42cb-9985-289da74ec473"]}],"mendeley":{"formattedCitation":"(Sher et al. 2000, Sher and Marshall 2003)","manualFormatting":"Sher et al. (2000); Sher and Marshall (2003)","plainTextFormattedCitation":"(Sher et al. 2000, Sher and Marshall 2003)","previouslyFormattedCitation":"(Sher et al. 2000, Sher and Marshall 2003)"},"properties":{"noteIndex":0},"schema":"https://github.com/citation-style-language/schema/raw/master/csl-citation.json"}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 xml:space="preserve">Sher et al. </w:t>
            </w:r>
            <w:r>
              <w:rPr>
                <w:rFonts w:ascii="Arial" w:eastAsia="Calibri" w:hAnsi="Arial" w:cs="Arial"/>
                <w:noProof/>
              </w:rPr>
              <w:t>(</w:t>
            </w:r>
            <w:r w:rsidRPr="00A237F8">
              <w:rPr>
                <w:rFonts w:ascii="Arial" w:eastAsia="Calibri" w:hAnsi="Arial" w:cs="Arial"/>
                <w:noProof/>
              </w:rPr>
              <w:t>2000</w:t>
            </w:r>
            <w:r>
              <w:rPr>
                <w:rFonts w:ascii="Arial" w:eastAsia="Calibri" w:hAnsi="Arial" w:cs="Arial"/>
                <w:noProof/>
              </w:rPr>
              <w:t>);</w:t>
            </w:r>
            <w:r w:rsidRPr="00A237F8">
              <w:rPr>
                <w:rFonts w:ascii="Arial" w:eastAsia="Calibri" w:hAnsi="Arial" w:cs="Arial"/>
                <w:noProof/>
              </w:rPr>
              <w:t xml:space="preserve"> Sher and Marshall </w:t>
            </w:r>
            <w:r>
              <w:rPr>
                <w:rFonts w:ascii="Arial" w:eastAsia="Calibri" w:hAnsi="Arial" w:cs="Arial"/>
                <w:noProof/>
              </w:rPr>
              <w:t>(</w:t>
            </w:r>
            <w:r w:rsidRPr="00A237F8">
              <w:rPr>
                <w:rFonts w:ascii="Arial" w:eastAsia="Calibri" w:hAnsi="Arial" w:cs="Arial"/>
                <w:noProof/>
              </w:rPr>
              <w:t>2003)</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show in a mesocosm and field studies </w:t>
            </w:r>
            <w:r>
              <w:rPr>
                <w:rFonts w:ascii="Arial" w:eastAsia="Calibri" w:hAnsi="Arial" w:cs="Arial"/>
              </w:rPr>
              <w:fldChar w:fldCharType="begin" w:fldLock="1"/>
            </w:r>
            <w:r>
              <w:rPr>
                <w:rFonts w:ascii="Arial" w:eastAsia="Calibri" w:hAnsi="Arial" w:cs="Arial"/>
              </w:rPr>
              <w:instrText>ADDIN CSL_CITATION {"citationItems":[{"id":"ITEM-1","itemData":{"abstract":"Despite growing concern and research interest in plant invasions, we know very little about ecological processes involved during invasion episodes. Understanding these dynamics is especially important for habitats subject to reestablishment of historical disturbance regimes; because many invasive species respond positively to disturbance, interactions between colonizing natives and nonnatives at the seedling stage may determine success of invasions. In the American Southwest, reduced flood disturbance in this century has been associated with the invasion of nonnative Tamarix ramosissima, with Tamarix appearing to displace native flood-dependent species of Populus and Salix. We studied two riparian communities of these woody species that had established after over-bank flooding was allowed to occur in two protected areas in New Mexico. Growth and mortality were monitored for each individual within 1-m2 plots of seedling communities within these sites for 2-4 yr. Abiotic conditions measured for each plot included soil salinity, texture, and nitrogen and phosphorus concentration. Although Tamarix seedling densities were an order of magnitude greater than those of the native species at initial establishment, mortality of Tamarix was also much greater than for Populus or Salix and occurred primarily in plots where native species were the most dense. Both natives were taller and grew faster above ground than Tamarix in the first 4 yr, and growth of Tamarix was negatively correlated with neighbor densities. In contrast, Populus and Salix growth and survival were never correlated with Tamarix densities. For all species, none of the abiotic variables measured was as important as neighbor density for explaining growth and survival patterns. These results have positive implications for managers who wish to reestablish the native dominants of riparian forests through reinstatement of flooding. Although Tamarix can respond positively to flooding, a range of conditions clearly exists in which Populus and Salix establishment can be stimulated by flooding, even when Tamarix seedlings are present. Furthermore, the presence of such natives even at the seedling stage may help to reduce densities of invasive Tamarix seedlings.","author":[{"dropping-particle":"","family":"Sher","given":"A A","non-dropping-particle":"","parse-names":false,"suffix":""},{"dropping-particle":"","family":"Marshall","given":"D L","non-dropping-particle":"","parse-names":false,"suffix":""},{"dropping-particle":"","family":"Taylor","given":"J P","non-dropping-particle":"","parse-names":false,"suffix":""}],"container-title":"Ecological Applications, 12 (3) pp. 760-772, 2002","id":"ITEM-1","issued":{"date-parts":[["2002"]]},"language":"English","note":"SuppNotes - 60 refs.\n\nLast updated - 2012-03-01\n\nCODEN - ECAPE","publisher-place":"A.A. Sher, Biology Department, University of New Mexico, Albuquerque, NM 87131, United States. Email: anna@sher.com","title":"Establishment patterns of native Populus and Salix in the presence of invasive nonnative Tamarix","type":"article-journal"},"uris":["http://www.mendeley.com/documents/?uuid=919baf38-8986-4c82-a38c-71bc5d8ad52a"]}],"mendeley":{"formattedCitation":"(Sher et al. 2002)","plainTextFormattedCitation":"(Sher et al. 2002)","previouslyFormattedCitation":"(Sher et al. 2002)"},"properties":{"noteIndex":0},"schema":"https://github.com/citation-style-language/schema/raw/master/csl-citation.json"}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(Sher et al. 2002)</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that </w:t>
            </w:r>
            <w:proofErr w:type="spellStart"/>
            <w:r w:rsidRPr="00561908">
              <w:rPr>
                <w:rFonts w:ascii="Arial" w:eastAsia="Calibri" w:hAnsi="Arial" w:cs="Arial"/>
                <w:i/>
                <w:iCs/>
              </w:rPr>
              <w:t>Tamarix</w:t>
            </w:r>
            <w:proofErr w:type="spellEnd"/>
            <w:r w:rsidRPr="00561908">
              <w:rPr>
                <w:rFonts w:ascii="Arial" w:eastAsia="Calibri" w:hAnsi="Arial" w:cs="Arial"/>
              </w:rPr>
              <w:t xml:space="preserve"> is less competitive than native </w:t>
            </w:r>
            <w:r w:rsidRPr="00561908">
              <w:rPr>
                <w:rFonts w:ascii="Arial" w:eastAsia="Calibri" w:hAnsi="Arial" w:cs="Arial"/>
                <w:i/>
              </w:rPr>
              <w:t xml:space="preserve">Populus </w:t>
            </w:r>
            <w:r w:rsidRPr="00561908">
              <w:rPr>
                <w:rFonts w:ascii="Arial" w:eastAsia="Calibri" w:hAnsi="Arial" w:cs="Arial"/>
              </w:rPr>
              <w:t xml:space="preserve">and </w:t>
            </w:r>
            <w:r w:rsidRPr="00561908">
              <w:rPr>
                <w:rFonts w:ascii="Arial" w:eastAsia="Calibri" w:hAnsi="Arial" w:cs="Arial"/>
                <w:i/>
              </w:rPr>
              <w:t xml:space="preserve">Salix </w:t>
            </w:r>
            <w:r w:rsidRPr="00561908">
              <w:rPr>
                <w:rFonts w:ascii="Arial" w:eastAsia="Calibri" w:hAnsi="Arial" w:cs="Arial"/>
              </w:rPr>
              <w:t xml:space="preserve">at the seedling stage. This supports theories that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invasion is facilitated by alterations to river systems, which are ongoing.</w:t>
            </w:r>
          </w:p>
        </w:tc>
      </w:tr>
      <w:tr w:rsidR="00A237F8" w:rsidRPr="00561908" w14:paraId="030EF6C8" w14:textId="77777777" w:rsidTr="00123B30">
        <w:trPr>
          <w:trHeight w:val="315"/>
        </w:trPr>
        <w:tc>
          <w:tcPr>
            <w:tcW w:w="1419" w:type="dxa"/>
            <w:shd w:val="clear" w:color="auto" w:fill="D9D9D9" w:themeFill="background1" w:themeFillShade="D9"/>
            <w:noWrap/>
            <w:hideMark/>
          </w:tcPr>
          <w:p w14:paraId="09A3A614" w14:textId="77777777" w:rsidR="00A237F8" w:rsidRPr="00561908" w:rsidRDefault="00A237F8" w:rsidP="00123B30">
            <w:pPr>
              <w:rPr>
                <w:rFonts w:ascii="Arial" w:eastAsia="Calibri" w:hAnsi="Arial" w:cs="Arial"/>
              </w:rPr>
            </w:pPr>
            <w:r w:rsidRPr="00561908">
              <w:rPr>
                <w:rFonts w:ascii="Arial" w:eastAsia="Calibri" w:hAnsi="Arial" w:cs="Arial"/>
              </w:rPr>
              <w:t>2001</w:t>
            </w:r>
          </w:p>
        </w:tc>
        <w:tc>
          <w:tcPr>
            <w:tcW w:w="7211" w:type="dxa"/>
            <w:shd w:val="clear" w:color="auto" w:fill="D9D9D9" w:themeFill="background1" w:themeFillShade="D9"/>
            <w:noWrap/>
            <w:hideMark/>
          </w:tcPr>
          <w:p w14:paraId="66270C47" w14:textId="6D015A8D" w:rsidR="00A237F8" w:rsidRPr="00561908" w:rsidRDefault="00A237F8" w:rsidP="00123B30">
            <w:pPr>
              <w:rPr>
                <w:rFonts w:ascii="Arial" w:eastAsia="Calibri" w:hAnsi="Arial" w:cs="Arial"/>
              </w:rPr>
            </w:pPr>
            <w:r w:rsidRPr="00561908">
              <w:rPr>
                <w:rFonts w:ascii="Arial" w:eastAsia="Calibri" w:hAnsi="Arial" w:cs="Arial"/>
              </w:rPr>
              <w:t xml:space="preserve">After testing host specificity for 10 years in quarantine facilities </w:t>
            </w:r>
            <w:r>
              <w:rPr>
                <w:rFonts w:ascii="Arial" w:eastAsia="Calibri" w:hAnsi="Arial" w:cs="Arial"/>
              </w:rPr>
              <w:fldChar w:fldCharType="begin" w:fldLock="1"/>
            </w:r>
            <w:r>
              <w:rPr>
                <w:rFonts w:ascii="Arial" w:eastAsia="Calibri" w:hAnsi="Arial" w:cs="Arial"/>
              </w:rPr>
              <w:instrText>ADDIN CSL_CITATION {"citationItems":[{"id":"ITEM-1","itemData":{"abstract":"The first biological control agents to be set loose against invasive saltcedar, Tamarix spp., are Chinese leaf beetles, Diorhabda elongata. The 10- to 30-foot trees infest over a million acres along western waterways, displacing native plants and wildlife, increasing soil salinity, diverting natural streamflow, and increasing the frequency of wildfires.","author":[{"dropping-particle":"","family":"DeLoach","given":"C Jack","non-dropping-particle":"","parse-names":false,"suffix":""},{"dropping-particle":"","family":"Carruthers","given":"Raymond I","non-dropping-particle":"","parse-names":false,"suffix":""}],"container-title":"Agricultural Research","id":"ITEM-1","issue":"9","issued":{"date-parts":[["2001","9"]]},"language":"English","note":"Copyright - Copyright Superintendent of Documents Sep 2001\n\nLast updated - 2017-10-31\n\nCODEN - AGREA5","page":"23","publisher":"Superintendent of Documents","publisher-place":"Washington","title":"Beetles sock it to saltcedar","type":"article-journal","volume":"49"},"uris":["http://www.mendeley.com/documents/?uuid=2ebf1863-1efd-4630-9765-bd5d27568d24"]}],"mendeley":{"formattedCitation":"(DeLoach and Carruthers 2001)","plainTextFormattedCitation":"(DeLoach and Carruthers 2001)","previouslyFormattedCitation":"(DeLoach and Carruthers 2001)"},"properties":{"noteIndex":0},"schema":"https://github.com/citation-style-language/schema/raw/master/csl-citation.json"}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(DeLoach and Carruthers 2001)</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a defoliating beetle (</w:t>
            </w:r>
            <w:proofErr w:type="spellStart"/>
            <w:r w:rsidRPr="00561908">
              <w:rPr>
                <w:rFonts w:ascii="Arial" w:eastAsia="Calibri" w:hAnsi="Arial" w:cs="Arial"/>
                <w:i/>
                <w:iCs/>
              </w:rPr>
              <w:t>Diorhabda</w:t>
            </w:r>
            <w:proofErr w:type="spellEnd"/>
            <w:r w:rsidRPr="00561908">
              <w:rPr>
                <w:rFonts w:ascii="Arial" w:eastAsia="Calibri" w:hAnsi="Arial" w:cs="Arial"/>
              </w:rPr>
              <w:t xml:space="preserve">) is released by the USDA-APHIS, initiating a biocontrol control program to control the spread of </w:t>
            </w:r>
            <w:proofErr w:type="spellStart"/>
            <w:r w:rsidRPr="00561908">
              <w:rPr>
                <w:rFonts w:ascii="Arial" w:eastAsia="Calibri" w:hAnsi="Arial" w:cs="Arial"/>
                <w:i/>
                <w:iCs/>
              </w:rPr>
              <w:t>Tamarix</w:t>
            </w:r>
            <w:proofErr w:type="spellEnd"/>
            <w:r w:rsidRPr="00561908">
              <w:rPr>
                <w:rFonts w:ascii="Arial" w:eastAsia="Calibri" w:hAnsi="Arial" w:cs="Arial"/>
              </w:rPr>
              <w:t>.</w:t>
            </w:r>
          </w:p>
        </w:tc>
      </w:tr>
      <w:tr w:rsidR="00A237F8" w:rsidRPr="00561908" w14:paraId="7AFA01B7" w14:textId="77777777" w:rsidTr="00123B30">
        <w:trPr>
          <w:trHeight w:val="315"/>
        </w:trPr>
        <w:tc>
          <w:tcPr>
            <w:tcW w:w="1419" w:type="dxa"/>
            <w:shd w:val="clear" w:color="auto" w:fill="D9D9D9" w:themeFill="background1" w:themeFillShade="D9"/>
            <w:noWrap/>
            <w:hideMark/>
          </w:tcPr>
          <w:p w14:paraId="701E1B37" w14:textId="77777777" w:rsidR="00A237F8" w:rsidRPr="00561908" w:rsidRDefault="00A237F8" w:rsidP="00123B30">
            <w:pPr>
              <w:rPr>
                <w:rFonts w:ascii="Arial" w:eastAsia="Calibri" w:hAnsi="Arial" w:cs="Arial"/>
              </w:rPr>
            </w:pPr>
            <w:r w:rsidRPr="00561908">
              <w:rPr>
                <w:rFonts w:ascii="Arial" w:eastAsia="Calibri" w:hAnsi="Arial" w:cs="Arial"/>
              </w:rPr>
              <w:t>2003</w:t>
            </w:r>
          </w:p>
        </w:tc>
        <w:tc>
          <w:tcPr>
            <w:tcW w:w="7211" w:type="dxa"/>
            <w:shd w:val="clear" w:color="auto" w:fill="D9D9D9" w:themeFill="background1" w:themeFillShade="D9"/>
            <w:noWrap/>
            <w:hideMark/>
          </w:tcPr>
          <w:p w14:paraId="4E06EE8A" w14:textId="77777777" w:rsidR="00A237F8" w:rsidRPr="00561908" w:rsidRDefault="00A237F8" w:rsidP="00123B30">
            <w:pPr>
              <w:rPr>
                <w:rFonts w:ascii="Arial" w:eastAsia="Calibri" w:hAnsi="Arial" w:cs="Arial"/>
              </w:rPr>
            </w:pPr>
            <w:r w:rsidRPr="00561908">
              <w:rPr>
                <w:rFonts w:ascii="Arial" w:eastAsia="Calibri" w:hAnsi="Arial" w:cs="Arial"/>
              </w:rPr>
              <w:t xml:space="preserve">The Tamarisk Coalition’s first symposium on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research is held in Grand Junction</w:t>
            </w:r>
            <w:r w:rsidRPr="2AB41863">
              <w:rPr>
                <w:rFonts w:ascii="Arial" w:eastAsia="Calibri" w:hAnsi="Arial" w:cs="Arial"/>
              </w:rPr>
              <w:t xml:space="preserve">, </w:t>
            </w:r>
            <w:r w:rsidRPr="1BA4EB9C">
              <w:rPr>
                <w:rFonts w:ascii="Arial" w:eastAsia="Calibri" w:hAnsi="Arial" w:cs="Arial"/>
              </w:rPr>
              <w:t>Colorado</w:t>
            </w:r>
            <w:r w:rsidRPr="00561908">
              <w:rPr>
                <w:rFonts w:ascii="Arial" w:eastAsia="Calibri" w:hAnsi="Arial" w:cs="Arial"/>
              </w:rPr>
              <w:t>.</w:t>
            </w:r>
          </w:p>
        </w:tc>
      </w:tr>
      <w:tr w:rsidR="00A237F8" w:rsidRPr="00561908" w14:paraId="309C639A" w14:textId="77777777" w:rsidTr="00123B30">
        <w:trPr>
          <w:trHeight w:val="315"/>
        </w:trPr>
        <w:tc>
          <w:tcPr>
            <w:tcW w:w="1419" w:type="dxa"/>
            <w:noWrap/>
            <w:hideMark/>
          </w:tcPr>
          <w:p w14:paraId="6420C4A9" w14:textId="77777777" w:rsidR="00A237F8" w:rsidRPr="00561908" w:rsidRDefault="00A237F8" w:rsidP="00123B30">
            <w:pPr>
              <w:rPr>
                <w:rFonts w:ascii="Arial" w:eastAsia="Calibri" w:hAnsi="Arial" w:cs="Arial"/>
              </w:rPr>
            </w:pPr>
            <w:r w:rsidRPr="00561908">
              <w:rPr>
                <w:rFonts w:ascii="Arial" w:eastAsia="Calibri" w:hAnsi="Arial" w:cs="Arial"/>
              </w:rPr>
              <w:t>2003</w:t>
            </w:r>
          </w:p>
        </w:tc>
        <w:tc>
          <w:tcPr>
            <w:tcW w:w="7211" w:type="dxa"/>
            <w:noWrap/>
            <w:hideMark/>
          </w:tcPr>
          <w:p w14:paraId="582578E9" w14:textId="5B3F71AB" w:rsidR="00A237F8" w:rsidRPr="00561908" w:rsidRDefault="00A237F8" w:rsidP="00123B30">
            <w:pPr>
              <w:rPr>
                <w:rFonts w:ascii="Arial" w:eastAsia="Calibri" w:hAnsi="Arial" w:cs="Arial"/>
              </w:rPr>
            </w:pPr>
            <w:r w:rsidRPr="00561908">
              <w:rPr>
                <w:rFonts w:ascii="Arial" w:eastAsia="Calibri" w:hAnsi="Arial" w:cs="Arial"/>
              </w:rPr>
              <w:t xml:space="preserve">Gaskin and Schaal </w:t>
            </w:r>
            <w:r>
              <w:rPr>
                <w:rFonts w:ascii="Arial" w:eastAsia="Calibri" w:hAnsi="Arial" w:cs="Arial"/>
              </w:rPr>
              <w:fldChar w:fldCharType="begin" w:fldLock="1"/>
            </w:r>
            <w:r>
              <w:rPr>
                <w:rFonts w:ascii="Arial" w:eastAsia="Calibri" w:hAnsi="Arial" w:cs="Arial"/>
              </w:rPr>
              <w:instrText>ADDIN CSL_CITATION {"citationItems":[{"id":"ITEM-1","itemData":{"ISSN":"03636445","abstract":"Tamarix is a taxonomically difficult Old World genus that has become naturalized and invasive in the Americas and Australia. We examine the morphology and taxonomic history of 12 putative U.S. invasive Tamarix species, and investigate current invasions using chloroplast and nuclear sequence data. We test molecular phylogenetic hypotheses regarding the relationships of putative invasive taxa, and conclude that there are four invasive entities in the U.S., two of which are T. aphylla and T. parviflora. The sequence data also identify an invasive entity consisting of genetically indistinguishable T. ramosissima and T. chinensis, and another consisting of genetically indistinguishable T. gallica and T. canariensis. There is evidence of introgression between T. ramosissima, T. canariensis, and T. gallica, which is a likely source of confusion in the identification of some Tamarix invasions.","author":[{"dropping-particle":"","family":"Gaskin","given":"John F.","non-dropping-particle":"","parse-names":false,"suffix":""},{"dropping-particle":"","family":"Schaal","given":"Barbara A","non-dropping-particle":"","parse-names":false,"suffix":""}],"container-title":"Systematic Botany","id":"ITEM-1","issue":"1","issued":{"date-parts":[["2003"]]},"page":"86-95","title":"Molecular phylogenetic investigation of U.S. invasive Tamarix","type":"article-journal","volume":"28"},"uris":["http://www.mendeley.com/documents/?uuid=202848b6-635d-4cff-9cb7-fb986e479b33"]}],"mendeley":{"formattedCitation":"(Gaskin and Schaal 2003)","plainTextFormattedCitation":"(Gaskin and Schaal 2003)","previouslyFormattedCitation":"(Gaskin and Schaal 2003)"},"properties":{"noteIndex":0},"schema":"https://github.com/citation-style-language/schema/raw/master/csl-citation.json"}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(Gaskin and Schaal 2003)</w:t>
            </w:r>
            <w:r>
              <w:rPr>
                <w:rFonts w:ascii="Arial" w:eastAsia="Calibri" w:hAnsi="Arial" w:cs="Arial"/>
              </w:rPr>
              <w:fldChar w:fldCharType="end"/>
            </w:r>
            <w:r w:rsidRPr="00561908">
              <w:rPr>
                <w:rFonts w:ascii="Arial" w:eastAsia="Calibri" w:hAnsi="Arial" w:cs="Arial"/>
              </w:rPr>
              <w:t xml:space="preserve"> publish genetic analysis that reveals that most invasive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stands in the U.S. are a hybrid between </w:t>
            </w:r>
            <w:r w:rsidRPr="00561908">
              <w:rPr>
                <w:rFonts w:ascii="Arial" w:eastAsia="Calibri" w:hAnsi="Arial" w:cs="Arial"/>
                <w:i/>
                <w:iCs/>
              </w:rPr>
              <w:t xml:space="preserve">T. chinensis and T. </w:t>
            </w:r>
            <w:proofErr w:type="spellStart"/>
            <w:r w:rsidRPr="00561908">
              <w:rPr>
                <w:rFonts w:ascii="Arial" w:eastAsia="Calibri" w:hAnsi="Arial" w:cs="Arial"/>
                <w:i/>
                <w:iCs/>
              </w:rPr>
              <w:t>ramosissima</w:t>
            </w:r>
            <w:proofErr w:type="spellEnd"/>
            <w:r w:rsidRPr="00561908">
              <w:rPr>
                <w:rFonts w:ascii="Arial" w:eastAsia="Calibri" w:hAnsi="Arial" w:cs="Arial"/>
                <w:i/>
                <w:iCs/>
              </w:rPr>
              <w:t>.</w:t>
            </w:r>
          </w:p>
        </w:tc>
      </w:tr>
      <w:tr w:rsidR="00A237F8" w:rsidRPr="00561908" w14:paraId="3501AD49" w14:textId="77777777" w:rsidTr="00123B30">
        <w:trPr>
          <w:trHeight w:val="315"/>
        </w:trPr>
        <w:tc>
          <w:tcPr>
            <w:tcW w:w="1419" w:type="dxa"/>
            <w:noWrap/>
            <w:hideMark/>
          </w:tcPr>
          <w:p w14:paraId="7AA5E66E" w14:textId="77777777" w:rsidR="00A237F8" w:rsidRPr="00561908" w:rsidRDefault="00A237F8" w:rsidP="00123B30">
            <w:pPr>
              <w:rPr>
                <w:rFonts w:ascii="Arial" w:eastAsia="Calibri" w:hAnsi="Arial" w:cs="Arial"/>
              </w:rPr>
            </w:pPr>
            <w:r w:rsidRPr="00561908">
              <w:rPr>
                <w:rFonts w:ascii="Arial" w:eastAsia="Calibri" w:hAnsi="Arial" w:cs="Arial"/>
              </w:rPr>
              <w:t>2005</w:t>
            </w:r>
          </w:p>
        </w:tc>
        <w:tc>
          <w:tcPr>
            <w:tcW w:w="7211" w:type="dxa"/>
            <w:noWrap/>
            <w:hideMark/>
          </w:tcPr>
          <w:p w14:paraId="498601D9" w14:textId="220233B4" w:rsidR="00A237F8" w:rsidRPr="00561908" w:rsidRDefault="00A237F8" w:rsidP="00123B30">
            <w:pPr>
              <w:rPr>
                <w:rFonts w:ascii="Arial" w:eastAsia="Calibri" w:hAnsi="Arial" w:cs="Arial"/>
              </w:rPr>
            </w:pPr>
            <w:r w:rsidRPr="00561908">
              <w:rPr>
                <w:rFonts w:ascii="Arial" w:eastAsia="Calibri" w:hAnsi="Arial" w:cs="Arial"/>
              </w:rPr>
              <w:t xml:space="preserve">In the first review explicitly comparing the ecology of Salicaceae and </w:t>
            </w:r>
            <w:proofErr w:type="spellStart"/>
            <w:r w:rsidRPr="00561908">
              <w:rPr>
                <w:rFonts w:ascii="Arial" w:eastAsia="Calibri" w:hAnsi="Arial" w:cs="Arial"/>
                <w:i/>
                <w:iCs/>
              </w:rPr>
              <w:t>Tamarix</w:t>
            </w:r>
            <w:proofErr w:type="spellEnd"/>
            <w:r w:rsidRPr="00561908">
              <w:rPr>
                <w:rFonts w:ascii="Arial" w:eastAsia="Calibri" w:hAnsi="Arial" w:cs="Arial"/>
              </w:rPr>
              <w:t xml:space="preserve">, Glenn and Nagler </w:t>
            </w:r>
            <w:r>
              <w:rPr>
                <w:rFonts w:ascii="Arial" w:eastAsia="Calibri" w:hAnsi="Arial" w:cs="Arial"/>
              </w:rPr>
              <w:fldChar w:fldCharType="begin" w:fldLock="1"/>
            </w:r>
            <w:r>
              <w:rPr>
                <w:rFonts w:ascii="Arial" w:eastAsia="Calibri" w:hAnsi="Arial" w:cs="Arial"/>
              </w:rPr>
              <w:instrText>ADDIN CSL_CITATION {"citationItems":[{"id":"ITEM-1","itemData":{"ISSN":"0140-1963, 0140-1963","abstract":"Over the past century, the natural flow regimes of the major western U.S. rivers have been altered by dams, flow regulation and diversion of water for human use. As a result, the floodplains of many rivers have become drier and more saline than in the pre-dam era, and riparian water tables have declined. These conditions have favored the replacement of native mesic trees such as Populus spp. (cottonwood) and Salix spp. (willow) by saltcedar, (Tamarix ramosissima), an introduced, stress-tolerant shrub from Eurasia. Saltcedar is now the dominant woody species on many perennial rivers systems in the arid southwestern U.S. and northwest Mexico A review of the research literature shows that saltcedar has greater salt tolerance, drought tolerance, resistance to water stress, and fire tolerance than mesic native trees. On the other hand, under a natural flow regime, native trees are competitive with saltcedar in germination and establishment during a flood year and they have equal or faster growth rates. On rivers that still experience a pulse flood regime or where floods have been reestablished, cottonwood and willow have shown the ability to establish despite the presence of saltcedar. Contrary to previous reviews, the current evidence does not support the conclusion that saltcedar has unusually high evapotranspiration rates or leaf area index that would allow it to dessicate water courses. According to most researchers, an effective management strategy for saltcedar must include the return of a more dynamic hydrological regime to regulated rivers, allowing saltcedar and native trees to coexist to maximize the habitat value of the riparian zone. (copyright) 2004 Elsevier Ltd. All rights reserved.","author":[{"dropping-particle":"","family":"Glenn","given":"E P","non-dropping-particle":"","parse-names":false,"suffix":""},{"dropping-particle":"","family":"Nagler","given":"P L","non-dropping-particle":"","parse-names":false,"suffix":""}],"container-title":"Journal of Arid Environments, 61 (3) pp. 419-446, 2005","id":"ITEM-1","issued":{"date-parts":[["2005"]]},"language":"English","note":"SuppNotes - 128 refs.\n\nLast updated - 2012-03-01\n\nCODEN - JAEND","publisher-place":"E.P. Glenn, Environmental Research Laboratory, University of Arizona, 2601 East Airport Drive, Tucson, AZ 85706, United States. Email: eglenn@ag.Arizona.edu","title":"Comparative ecophysiology of Tamarix ramosissima and native trees in western U.S. riparian zones","type":"article-journal"},"uris":["http://www.mendeley.com/documents/?uuid=7a9646d5-6865-4309-b429-e89e8ba523b2"]}],"mendeley":{"formattedCitation":"(Glenn and Nagler 2005)","manualFormatting":"(2005)","plainTextFormattedCitation":"(Glenn and Nagler 2005)","previouslyFormattedCitation":"(Glenn and Nagler 2005)"},"properties":{"noteIndex":0},"schema":"https://github.com/citation-style-language/schema/raw/master/csl-citation.json"}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(2005)</w:t>
            </w:r>
            <w:r>
              <w:rPr>
                <w:rFonts w:ascii="Arial" w:eastAsia="Calibri" w:hAnsi="Arial" w:cs="Arial"/>
              </w:rPr>
              <w:fldChar w:fldCharType="end"/>
            </w:r>
            <w:r>
              <w:rPr>
                <w:rFonts w:ascii="Arial" w:eastAsia="Calibri" w:hAnsi="Arial" w:cs="Arial"/>
              </w:rPr>
              <w:t xml:space="preserve"> </w:t>
            </w:r>
            <w:r w:rsidRPr="00561908">
              <w:rPr>
                <w:rFonts w:ascii="Arial" w:eastAsia="Calibri" w:hAnsi="Arial" w:cs="Arial"/>
              </w:rPr>
              <w:t xml:space="preserve">publish findings that native tree species can use as much water as </w:t>
            </w:r>
            <w:proofErr w:type="spellStart"/>
            <w:r w:rsidRPr="00561908">
              <w:rPr>
                <w:rFonts w:ascii="Arial" w:eastAsia="Calibri" w:hAnsi="Arial" w:cs="Arial"/>
                <w:i/>
                <w:iCs/>
              </w:rPr>
              <w:t>Tamarix</w:t>
            </w:r>
            <w:proofErr w:type="spellEnd"/>
            <w:r w:rsidRPr="00561908">
              <w:rPr>
                <w:rFonts w:ascii="Arial" w:eastAsia="Calibri" w:hAnsi="Arial" w:cs="Arial"/>
              </w:rPr>
              <w:t>.</w:t>
            </w:r>
          </w:p>
        </w:tc>
      </w:tr>
      <w:tr w:rsidR="00A237F8" w:rsidRPr="00561908" w14:paraId="7F5C1F06" w14:textId="77777777" w:rsidTr="00123B30">
        <w:trPr>
          <w:trHeight w:val="315"/>
        </w:trPr>
        <w:tc>
          <w:tcPr>
            <w:tcW w:w="1419" w:type="dxa"/>
            <w:noWrap/>
            <w:hideMark/>
          </w:tcPr>
          <w:p w14:paraId="1C619FFD" w14:textId="77777777" w:rsidR="00A237F8" w:rsidRPr="00561908" w:rsidRDefault="00A237F8" w:rsidP="00123B30">
            <w:pPr>
              <w:rPr>
                <w:rFonts w:ascii="Arial" w:eastAsia="Calibri" w:hAnsi="Arial" w:cs="Arial"/>
              </w:rPr>
            </w:pPr>
            <w:r w:rsidRPr="00561908">
              <w:rPr>
                <w:rFonts w:ascii="Arial" w:eastAsia="Calibri" w:hAnsi="Arial" w:cs="Arial"/>
              </w:rPr>
              <w:t>2005</w:t>
            </w:r>
          </w:p>
        </w:tc>
        <w:tc>
          <w:tcPr>
            <w:tcW w:w="7211" w:type="dxa"/>
            <w:noWrap/>
            <w:hideMark/>
          </w:tcPr>
          <w:p w14:paraId="684377E9" w14:textId="0D0E4118" w:rsidR="00A237F8" w:rsidRPr="00561908" w:rsidRDefault="00A237F8" w:rsidP="00123B30">
            <w:pPr>
              <w:rPr>
                <w:rFonts w:ascii="Arial" w:eastAsia="Calibri" w:hAnsi="Arial" w:cs="Arial"/>
              </w:rPr>
            </w:pPr>
            <w:r w:rsidRPr="00561908">
              <w:rPr>
                <w:rFonts w:ascii="Arial" w:eastAsia="Calibri" w:hAnsi="Arial" w:cs="Arial"/>
              </w:rPr>
              <w:t xml:space="preserve">Friedman et al. </w:t>
            </w:r>
            <w:r>
              <w:rPr>
                <w:rFonts w:ascii="Arial" w:eastAsia="Calibri" w:hAnsi="Arial" w:cs="Arial"/>
              </w:rPr>
              <w:fldChar w:fldCharType="begin" w:fldLock="1"/>
            </w:r>
            <w:r>
              <w:rPr>
                <w:rFonts w:ascii="Arial" w:eastAsia="Calibri" w:hAnsi="Arial" w:cs="Arial"/>
              </w:rPr>
              <w:instrText>ADDIN CSL_CITATION {"citationItems":[{"id":"ITEM-1","itemData":{"DOI":"10.1007/s10530-004-5849-z","ISSN":"13873547","abstract":"Concern about spread of non-native riparian trees in the western USA has led to Congressional proposals to accelerate control efforts. Debate over these proposals is frustrated by limited knowledge of non-native species distribution and abundance. We measured abundance of 44 riparian woody plants at 475 randomly selected stream gaging stations in 17 western states. Our sample indicates that Tamarix ramosissima and Elaeagnus angustifolia are already the third and fourth most frequently occurring woody riparian plants in the region. Although many species of Tamarix have been reported in the region, T. ramosissima (here including T. chinensis and hybrids) is by far the most abundant. The frequency of occurrence of T. ramosissima has a strong positive relation with the mean annual minimum temperature, which is consistent with hypothesized frost sensitivity. In contrast the frequency of occurrence of E. angustifolia decreases with increasing minimum temperatures. Based on mean normalized cover, T. ramosissima and E. angustifolia are the second and fifth most dominant woody riparian species in the western USA. The dominance of T. ramosissima has been suspected for decades; the regional ascendance of E. angustifolia, however, has not previously been reported. © Springer 2005.","author":[{"dropping-particle":"","family":"Friedman","given":"Jonathan M.","non-dropping-particle":"","parse-names":false,"suffix":""},{"dropping-particle":"","family":"Auble","given":"Gregor T.","non-dropping-particle":"","parse-names":false,"suffix":""},{"dropping-particle":"","family":"Shafroth","given":"Patrick B.","non-dropping-particle":"","parse-names":false,"suffix":""},{"dropping-particle":"","family":"Scott","given":"Michael L.","non-dropping-particle":"","parse-names":false,"suffix":""},{"dropping-particle":"","family":"Merigliano","given":"Michael F.","non-dropping-particle":"","parse-names":false,"suffix":""},{"dropping-particle":"","family":"Freehling","given":"Michael D.","non-dropping-particle":"","parse-names":false,"suffix":""},{"dropping-particle":"","family":"Griffin","given":"Eleanor R.","non-dropping-particle":"","parse-names":false,"suffix":""}],"container-title":"Biological Invasions","id":"ITEM-1","issue":"4","issued":{"date-parts":[["2005"]]},"page":"747-751","title":"Dominance of non-native riparian trees in western USA","type":"article-journal","volume":"7"},"uris":["http://www.mendeley.com/documents/?uuid=fee3e082-ae54-46b7-ab9f-c2ab51674b55"]}],"mendeley":{"formattedCitation":"(Friedman et al. 2005)","manualFormatting":"(2005)","plainTextFormattedCitation":"(Friedman et al. 2005)","previouslyFormattedCitation":"(Friedman et al. 2005)"},"properties":{"noteIndex":0},"schema":"https://github.com/citation-style-language/schema/raw/master/csl-citation.json"}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(2005)</w:t>
            </w:r>
            <w:r>
              <w:rPr>
                <w:rFonts w:ascii="Arial" w:eastAsia="Calibri" w:hAnsi="Arial" w:cs="Arial"/>
              </w:rPr>
              <w:fldChar w:fldCharType="end"/>
            </w:r>
            <w:r w:rsidRPr="00561908">
              <w:rPr>
                <w:rFonts w:ascii="Arial" w:eastAsia="Calibri" w:hAnsi="Arial" w:cs="Arial"/>
              </w:rPr>
              <w:t xml:space="preserve"> report that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has become the </w:t>
            </w:r>
            <w:r>
              <w:rPr>
                <w:rFonts w:ascii="Arial" w:eastAsia="Calibri" w:hAnsi="Arial" w:cs="Arial"/>
              </w:rPr>
              <w:t xml:space="preserve">second most dominant and </w:t>
            </w:r>
            <w:r w:rsidRPr="00561908">
              <w:rPr>
                <w:rFonts w:ascii="Arial" w:eastAsia="Calibri" w:hAnsi="Arial" w:cs="Arial"/>
              </w:rPr>
              <w:t xml:space="preserve">third most </w:t>
            </w:r>
            <w:r>
              <w:rPr>
                <w:rFonts w:ascii="Arial" w:eastAsia="Calibri" w:hAnsi="Arial" w:cs="Arial"/>
              </w:rPr>
              <w:t>frequently occurring</w:t>
            </w:r>
            <w:r w:rsidRPr="00561908">
              <w:rPr>
                <w:rFonts w:ascii="Arial" w:eastAsia="Calibri" w:hAnsi="Arial" w:cs="Arial"/>
              </w:rPr>
              <w:t xml:space="preserve"> woody species along rivers in the American West.</w:t>
            </w:r>
          </w:p>
        </w:tc>
      </w:tr>
      <w:tr w:rsidR="00A237F8" w:rsidRPr="00561908" w14:paraId="0248DE43" w14:textId="77777777" w:rsidTr="00123B30">
        <w:trPr>
          <w:trHeight w:val="315"/>
        </w:trPr>
        <w:tc>
          <w:tcPr>
            <w:tcW w:w="1419" w:type="dxa"/>
            <w:noWrap/>
            <w:hideMark/>
          </w:tcPr>
          <w:p w14:paraId="0C1F3347" w14:textId="77777777" w:rsidR="00A237F8" w:rsidRPr="00561908" w:rsidRDefault="00A237F8" w:rsidP="00123B30">
            <w:pPr>
              <w:rPr>
                <w:rFonts w:ascii="Arial" w:eastAsia="Calibri" w:hAnsi="Arial" w:cs="Arial"/>
              </w:rPr>
            </w:pPr>
            <w:r w:rsidRPr="00561908">
              <w:rPr>
                <w:rFonts w:ascii="Arial" w:eastAsia="Calibri" w:hAnsi="Arial" w:cs="Arial"/>
              </w:rPr>
              <w:t>2005</w:t>
            </w:r>
          </w:p>
        </w:tc>
        <w:tc>
          <w:tcPr>
            <w:tcW w:w="7211" w:type="dxa"/>
            <w:noWrap/>
            <w:hideMark/>
          </w:tcPr>
          <w:p w14:paraId="23FED548" w14:textId="2EBAEF81" w:rsidR="00A237F8" w:rsidRPr="00561908" w:rsidRDefault="00A237F8" w:rsidP="00123B30">
            <w:pPr>
              <w:rPr>
                <w:rFonts w:ascii="Arial" w:eastAsia="Calibri" w:hAnsi="Arial" w:cs="Arial"/>
              </w:rPr>
            </w:pPr>
            <w:proofErr w:type="spellStart"/>
            <w:r w:rsidRPr="00561908">
              <w:rPr>
                <w:rFonts w:ascii="Arial" w:eastAsia="Calibri" w:hAnsi="Arial" w:cs="Arial"/>
              </w:rPr>
              <w:t>Shafroth</w:t>
            </w:r>
            <w:proofErr w:type="spellEnd"/>
            <w:r w:rsidRPr="00561908">
              <w:rPr>
                <w:rFonts w:ascii="Arial" w:eastAsia="Calibri" w:hAnsi="Arial" w:cs="Arial"/>
              </w:rPr>
              <w:t xml:space="preserve"> et al. </w:t>
            </w:r>
            <w:r>
              <w:rPr>
                <w:rFonts w:ascii="Arial" w:eastAsia="Calibri" w:hAnsi="Arial" w:cs="Arial"/>
              </w:rPr>
              <w:fldChar w:fldCharType="begin" w:fldLock="1"/>
            </w:r>
            <w:r>
              <w:rPr>
                <w:rFonts w:ascii="Arial" w:eastAsia="Calibri" w:hAnsi="Arial" w:cs="Arial"/>
              </w:rPr>
              <w:instrText>ADDIN CSL_CITATION {"citationItems":[{"id":"ITEM-1","itemData":{"DOI":"http://dx.doi.org/10.1007/s00267-004-0099-5","ISBN":"0026700400995","ISSN":"0364152X","PMID":"15925969","abstract":"Non-native shrub species in the genus Tamarix (saltcedar, tamarisk) have colonized hundreds of thousands of hectares of floodplains, reservoir margins, and other wetlands in western North America. Many resource managers seek to reduce saltcedar abundance and control its spread to increase the flow of water in streams that might otherwise be lost to evapotranspiration, to restore native riparian (streamside) vegetation, and to improve wildlife habitat. However, increased water yield might not always occur and has been substantially lower than expected in water salvage experiments, the potential for successful revegetation is variable, and not all wildlife taxa clearly prefer native plant habitats over saltcedar. As a result, there is considerable debate surrounding saltcedar control efforts. We review the literature on saltcedar control, water use, wildlife use, and riparian restoration to provide resource managers, researchers, and policy-makers with a balanced summary of the state of the science. To best ensure that the desired outcomes of removal programs are met, scientists and resource managers should use existing information and methodologies to carefully select and prioritize sites for removal, apply the most appropriate and cost-effective control methods, and then rigorously monitor control efficacy, revegetation success, water yield changes, and wildlife use.","author":[{"dropping-particle":"","family":"Shafroth","given":"Patrick B.","non-dropping-particle":"","parse-names":false,"suffix":""},{"dropping-particle":"","family":"Cleverly","given":"James R.","non-dropping-particle":"","parse-names":false,"suffix":""},{"dropping-particle":"","family":"Dudley","given":"Tom L.","non-dropping-particle":"","parse-names":false,"suffix":""},{"dropping-particle":"","family":"Taylor","given":"John P.","non-dropping-particle":"","parse-names":false,"suffix":""},{"dropping-particle":"","family":"Riper III","given":"Charles","non-dropping-particle":"van","parse-names":false,"suffix":""},{"dropping-particle":"","family":"Weeks","given":"Edwin P.","non-dropping-particle":"","parse-names":false,"suffix":""},{"dropping-particle":"","family":"Stuart","given":"James N.","non-dropping-particle":"","parse-names":false,"suffix":""}],"container-title":"Environmental Management","id":"ITEM-1","issue":"3","issued":{"date-parts":[["2005","3"]]},"language":"English","note":"From Duplicate 2 (Control of Tamarix in the Western United States: Implications for Water Salvage, Wildlife Use, and Riparian Restoration - Shafroth, Patrick B; Cleverly, James R; Dudley, Tom L; Taylor, John P; VAN Riper, Charles; Weeks, Edwin P; Stuart, James N)\n\nCopyright - Springer Science+Business Media, Inc. 2005\n\nDocument feature - References\n\nLast updated - 2014-08-02\n\nFrom Duplicate 3 (Control of Tamarix in the Western United States: Implications for Water Salvage, Wildlife Use, and Riparian Restoration. - Shafroth, Patrick B; Cleverly, James R; Dudley, Tom L; Taylor, John P; VAN Riper, Charles; Weeks, Edwin P; Stuart, James N; Van Riper III, C; Weeks, Edwin P; Stuart, James N; Riper, Charles; Weeks, Edwin P; Stuart, James N)\n\nFrom Duplicate 1 (Control ofTamarixin the Western United States: Implications for Water Salvage, Wildlife Use, and Riparian Restoration. - Shafroth, Patrick; Cleverly, James; Dudley, Tom; Taylor, John; Riper, Charles; Weeks, Edwin; Stuart, James)\n\nAccession Number: 17158840; Shafroth, Patrick 1; Email Address: pat_shafroth@usgs.gov; Cleverly, James 2; Dudley, Tom 3; Taylor, John 4; Riper, Charles 5; Weeks, Edwin 6; Stuart, James 7; Affiliations: 1 : Fort Collins Science Center, US Geological Survey; 2 : Department of Biology, University of New Mexico; 3 : Department of Natural Resource and Environmental Science, University of Nevada; 4 : Bosque del Apache National Wildlife Refuge, US Fish and Wildlife Service Socorro, New Mexico, USA; 5 : Southwest Biological Science Center, US Geological Survey Tucson, Arizona, USA; 6 : National Research Program, US Geological Survey Denver, Colorado, USA; 7 : Conservation Services Division New Mexico Department of Game and Fish, Santa Fe, New Mexico, USA; Source Info: Mar2005, Vol. 35 Issue 3, p231; Thesaurus Term: Shrubs; Thesaurus Term: Water reuse; Thesaurus Term: Riparian restoration; Thesaurus Term: Habitats; Subject Term: Tamarisks; Subject: North America; Author-Supplied Keyword: Control; Author-Supplied Keyword: Evapotranspiration; Author-Supplied Keyword: Exotic species; Author-Supplied Keyword: Invasive species; Author-Supplied Keyword: Revegetation; Author-Supplied Keyword: Saltcedar; Author-Supplied Keyword: Tamarisk; Author-Supplied Keyword: Tamarix; Author-Supplied Keyword: Water salvage; Author-Supplied Keyword: Wildlife use; Number of Pages: 16p; Document Type: Article\n\nFrom Duplicate 2 (Control of Tamarix in the Western United States: Implications for Water Salvage, Wildlife Use, and Riparian Restoration - Shafroth, Patrick B; Cleverly, James R; Dudley, Tom L; Taylor, John P; VAN Riper, Charles; Weeks, Edwin P; Stuart, James N; Van Riper III, C; Weeks, Edwin P; Stuart, James N; Riper, Charles; Weeks, Edwin P; Stuart, James N)\n\nFrom Duplicate 1 (Control of Tamarix in the Western United States: Implications for Water Salvage, Wildlife Use, and Riparian Restoration - Shafroth, Patrick B; Cleverly, James R; Dudley, Tom L; Taylor, John P; Riper, Charles; Weeks, Edwin P; Stuart, James N)\n\nDate revised - 2006-08-01\n\nLast updated - 2015-03-25\n\nSubjectsTermNotLitGenreText - Resource management; Flood plains; Wildlife; Plants; Riparian environments; Vegetation; Wetlands; Habitat; Environment management; Shrubs; Flood Plains; Water Yield; Reviews; Revegetation; Reservoirs; Streams; Tamarix; USA\n\nFrom Duplicate 2 (Control of Tamarix in the western United States: Implications for water salvage, wildlife use, and riparian restoration - Shafroth, P B; Cleverly, J R; Dudley, T L; Taylor, J P; Van Riper III, C; Weeks, E P; Stuart, J N)\n\nSuppNotes - 142 refs.\n\nLast updated - 2012-03-01\n\nCODEN - EMNGD\n\nFrom Duplicate 3 (Control of Tamarix in the Western United States: Implications for Water Salvage, Wildlife Use, and Riparian Restoration - Shafroth, Patrick B; Cleverly, James R; Dudley, Tom L; Taylor, John P; VAN Riper, Charles; Weeks, Edwin P; Stuart, James N)\n\nCopyright - Springer Science+Business Media, Inc. 2005\n\nDocument feature - References\n\nLast updated - 2014-08-02","page":"231-246","publisher":"Springer-Verlag, Life Science Journals, 175 Fifth Ave. New York NY 10010 USA, [mailto:orders@springer-ny.com], [URL:http://www.springer-ny.com/]","publisher-place":"New York","title":"Control of Tamarix in the western United States: Implications for water salvage, wildlife use, and riparian restoration","type":"article-journal","volume":"35"},"uris":["http://www.mendeley.com/documents/?uuid=93e4bc64-5d9d-44ef-b7f7-032fe7115c10"]}],"mendeley":{"formattedCitation":"(Shafroth et al. 2005)","manualFormatting":"(2005)","plainTextFormattedCitation":"(Shafroth et al. 2005)","previouslyFormattedCitation":"(Shafroth et al. 2005)"},"properties":{"noteIndex":0},"schema":"https://github.com/citation-style-language/schema/raw/master/csl-citation.json"}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(2005)</w:t>
            </w:r>
            <w:r>
              <w:rPr>
                <w:rFonts w:ascii="Arial" w:eastAsia="Calibri" w:hAnsi="Arial" w:cs="Arial"/>
              </w:rPr>
              <w:fldChar w:fldCharType="end"/>
            </w:r>
            <w:r w:rsidRPr="00561908">
              <w:rPr>
                <w:rFonts w:ascii="Arial" w:eastAsia="Calibri" w:hAnsi="Arial" w:cs="Arial"/>
              </w:rPr>
              <w:t xml:space="preserve"> review the literature on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water use, wildlife use, and riparian restoration to provide resource managers, researchers, and policymakers with a balanced summary of the state of the science, alerting them about having realistic expectations from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projects.</w:t>
            </w:r>
          </w:p>
        </w:tc>
      </w:tr>
      <w:tr w:rsidR="00A237F8" w:rsidRPr="00561908" w14:paraId="5690AAC1" w14:textId="77777777" w:rsidTr="00123B30">
        <w:trPr>
          <w:trHeight w:val="315"/>
        </w:trPr>
        <w:tc>
          <w:tcPr>
            <w:tcW w:w="1419" w:type="dxa"/>
            <w:noWrap/>
            <w:hideMark/>
          </w:tcPr>
          <w:p w14:paraId="40835F2C" w14:textId="77777777" w:rsidR="00A237F8" w:rsidRPr="00561908" w:rsidRDefault="00A237F8" w:rsidP="00123B30">
            <w:pPr>
              <w:rPr>
                <w:rFonts w:ascii="Arial" w:eastAsia="Calibri" w:hAnsi="Arial" w:cs="Arial"/>
              </w:rPr>
            </w:pPr>
            <w:r w:rsidRPr="00561908">
              <w:rPr>
                <w:rFonts w:ascii="Arial" w:eastAsia="Calibri" w:hAnsi="Arial" w:cs="Arial"/>
              </w:rPr>
              <w:t>2006</w:t>
            </w:r>
          </w:p>
        </w:tc>
        <w:tc>
          <w:tcPr>
            <w:tcW w:w="7211" w:type="dxa"/>
            <w:noWrap/>
            <w:hideMark/>
          </w:tcPr>
          <w:p w14:paraId="0AE6E29F" w14:textId="2285F99F" w:rsidR="00A237F8" w:rsidRPr="00561908" w:rsidRDefault="00A237F8" w:rsidP="00123B30">
            <w:pPr>
              <w:rPr>
                <w:rFonts w:ascii="Arial" w:eastAsia="Calibri" w:hAnsi="Arial" w:cs="Arial"/>
              </w:rPr>
            </w:pPr>
            <w:r w:rsidRPr="00561908">
              <w:rPr>
                <w:rFonts w:ascii="Arial" w:eastAsia="Calibri" w:hAnsi="Arial" w:cs="Arial"/>
              </w:rPr>
              <w:t xml:space="preserve">Harms and Hiebert </w:t>
            </w:r>
            <w:r>
              <w:rPr>
                <w:rFonts w:ascii="Arial" w:eastAsia="Calibri" w:hAnsi="Arial" w:cs="Arial"/>
              </w:rPr>
              <w:fldChar w:fldCharType="begin" w:fldLock="1"/>
            </w:r>
            <w:r>
              <w:rPr>
                <w:rFonts w:ascii="Arial" w:eastAsia="Calibri" w:hAnsi="Arial" w:cs="Arial"/>
              </w:rPr>
              <w:instrText>ADDIN CSL_CITATION {"citationItems":[{"id":"ITEM-1","itemData":{"ISSN":"1061-2971, 1061-2971","abstract":"Vegetation response following invasive tamarisk removal and implications for riparian restoration were studied. No trend toward increases in native cover was noted over time. When tamarisk was included in the analysis, diversity in tamarisk removal sites was 2- to 3-fold higher than in the control sites and vegetation communities differed between treated and untreated sites. When tamarisk was excluded from the analysis, diversity was not greater at tamarisk removal sites, and there was no community difference between the treated and untreated transects. Overall species richness did not change following tamarisk removal. Sites in the Mojave showed the strongest increase in native foliar cover and diversity. Results indicated that vegetation response to tamarisk removal was often negligible.","author":[{"dropping-particle":"","family":"Harms","given":"Rebecca S","non-dropping-particle":"","parse-names":false,"suffix":""},{"dropping-particle":"","family":"Hiebert","given":"Ron D","non-dropping-particle":"","parse-names":false,"suffix":""}],"container-title":"Restoration Ecology","id":"ITEM-1","issue":"3","issued":{"date-parts":[["2006","9"]]},"language":"English","note":"Date revised - 2009-08-01\n\nDocument feature - |n 2 |t diagrams\n\nLast updated - 2011-12-15\n\nSubjectsTermNotLitGenreText - POPULATION DENSITY; ECOSYSTEM DYNAMICS; PLANTS, BIOLOGIC; RESTORATION; FLOOD CONTROL; DATA MANAGEMENT; REVEGETATION; BIODIVERSITY","page":"461","publisher":"Wiley-Blackwell, 111 River Street Hoboken NJ 07030-5774","title":"Vegetation Response Following Invasive Tamarisk (Tamarix spp.) Removal and Implications for Riparian Restoration","type":"article-journal","volume":"14"},"uris":["http://www.mendeley.com/documents/?uuid=ab553f3d-a934-473b-96be-fafaaa95fb63"]}],"mendeley":{"formattedCitation":"(Harms and Hiebert 2006)","manualFormatting":"(2006)","plainTextFormattedCitation":"(Harms and Hiebert 2006)","previouslyFormattedCitation":"(Harms and Hiebert 2006)"},"properties":{"noteIndex":0},"schema":"https://github.com/citation-style-language/schema/raw/master/csl-citation.json"}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(2006)</w:t>
            </w:r>
            <w:r>
              <w:rPr>
                <w:rFonts w:ascii="Arial" w:eastAsia="Calibri" w:hAnsi="Arial" w:cs="Arial"/>
              </w:rPr>
              <w:fldChar w:fldCharType="end"/>
            </w:r>
            <w:r w:rsidRPr="00561908">
              <w:rPr>
                <w:rFonts w:ascii="Arial" w:eastAsia="Calibri" w:hAnsi="Arial" w:cs="Arial"/>
              </w:rPr>
              <w:t xml:space="preserve"> report the first comparison of plant community responses to </w:t>
            </w:r>
            <w:proofErr w:type="spellStart"/>
            <w:r w:rsidRPr="00561908">
              <w:rPr>
                <w:rFonts w:ascii="Arial" w:eastAsia="Calibri" w:hAnsi="Arial" w:cs="Arial"/>
                <w:i/>
                <w:iCs/>
              </w:rPr>
              <w:t>Tamarix</w:t>
            </w:r>
            <w:proofErr w:type="spellEnd"/>
            <w:r w:rsidRPr="00561908">
              <w:rPr>
                <w:rFonts w:ascii="Arial" w:eastAsia="Calibri" w:hAnsi="Arial" w:cs="Arial"/>
              </w:rPr>
              <w:t xml:space="preserve"> active control across ecoregions and treatment techniques. They find that native plant response is highly variable and sometimes negligible.</w:t>
            </w:r>
          </w:p>
        </w:tc>
      </w:tr>
      <w:tr w:rsidR="00A237F8" w:rsidRPr="00561908" w14:paraId="691AD38A" w14:textId="77777777" w:rsidTr="00123B30">
        <w:trPr>
          <w:trHeight w:val="315"/>
        </w:trPr>
        <w:tc>
          <w:tcPr>
            <w:tcW w:w="1419" w:type="dxa"/>
            <w:shd w:val="clear" w:color="auto" w:fill="D9D9D9" w:themeFill="background1" w:themeFillShade="D9"/>
            <w:noWrap/>
            <w:hideMark/>
          </w:tcPr>
          <w:p w14:paraId="06F38269" w14:textId="77777777" w:rsidR="00A237F8" w:rsidRPr="00561908" w:rsidRDefault="00A237F8" w:rsidP="00123B30">
            <w:pPr>
              <w:rPr>
                <w:rFonts w:ascii="Arial" w:eastAsia="Calibri" w:hAnsi="Arial" w:cs="Arial"/>
              </w:rPr>
            </w:pPr>
            <w:r w:rsidRPr="00561908">
              <w:rPr>
                <w:rFonts w:ascii="Arial" w:eastAsia="Calibri" w:hAnsi="Arial" w:cs="Arial"/>
              </w:rPr>
              <w:t>2006</w:t>
            </w:r>
          </w:p>
        </w:tc>
        <w:tc>
          <w:tcPr>
            <w:tcW w:w="7211" w:type="dxa"/>
            <w:shd w:val="clear" w:color="auto" w:fill="D9D9D9" w:themeFill="background1" w:themeFillShade="D9"/>
            <w:noWrap/>
            <w:hideMark/>
          </w:tcPr>
          <w:p w14:paraId="46DEB6E2" w14:textId="77777777" w:rsidR="00A237F8" w:rsidRPr="00561908" w:rsidRDefault="00A237F8" w:rsidP="00123B30">
            <w:pPr>
              <w:rPr>
                <w:rFonts w:ascii="Arial" w:eastAsia="Calibri" w:hAnsi="Arial" w:cs="Arial"/>
              </w:rPr>
            </w:pPr>
            <w:r w:rsidRPr="00561908">
              <w:rPr>
                <w:rFonts w:ascii="Arial" w:eastAsia="Calibri" w:hAnsi="Arial" w:cs="Arial"/>
              </w:rPr>
              <w:t xml:space="preserve">President George W. Bush signs HR 2720, the ‘‘Salt Cedar and Russian Olive Control Demonstration Act.’’ providing funding for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w:t>
            </w:r>
          </w:p>
        </w:tc>
      </w:tr>
      <w:tr w:rsidR="00A237F8" w:rsidRPr="00561908" w14:paraId="12F0AAD2" w14:textId="77777777" w:rsidTr="00123B30">
        <w:trPr>
          <w:trHeight w:val="315"/>
        </w:trPr>
        <w:tc>
          <w:tcPr>
            <w:tcW w:w="1419" w:type="dxa"/>
            <w:noWrap/>
            <w:hideMark/>
          </w:tcPr>
          <w:p w14:paraId="4532545C" w14:textId="77777777" w:rsidR="00A237F8" w:rsidRPr="00561908" w:rsidRDefault="00A237F8" w:rsidP="00123B30">
            <w:pPr>
              <w:rPr>
                <w:rFonts w:ascii="Arial" w:eastAsia="Calibri" w:hAnsi="Arial" w:cs="Arial"/>
              </w:rPr>
            </w:pPr>
            <w:r w:rsidRPr="00561908">
              <w:rPr>
                <w:rFonts w:ascii="Arial" w:eastAsia="Calibri" w:hAnsi="Arial" w:cs="Arial"/>
              </w:rPr>
              <w:t>2008</w:t>
            </w:r>
          </w:p>
        </w:tc>
        <w:tc>
          <w:tcPr>
            <w:tcW w:w="7211" w:type="dxa"/>
            <w:noWrap/>
            <w:hideMark/>
          </w:tcPr>
          <w:p w14:paraId="36DB3799" w14:textId="3CC4C8EE" w:rsidR="00A237F8" w:rsidRPr="00561908" w:rsidRDefault="00A237F8" w:rsidP="00123B30">
            <w:pPr>
              <w:rPr>
                <w:rFonts w:ascii="Arial" w:eastAsia="Calibri" w:hAnsi="Arial" w:cs="Arial"/>
              </w:rPr>
            </w:pPr>
            <w:r w:rsidRPr="00561908">
              <w:rPr>
                <w:rFonts w:ascii="Arial" w:eastAsia="Calibri" w:hAnsi="Arial" w:cs="Arial"/>
              </w:rPr>
              <w:t xml:space="preserve">Restoration Ecology (journal edited by the Society for Ecological Restoration International) publishes the first Special Feature on the control and restoration associated with </w:t>
            </w:r>
            <w:proofErr w:type="spellStart"/>
            <w:r w:rsidRPr="00561908">
              <w:rPr>
                <w:rFonts w:ascii="Arial" w:eastAsia="Calibri" w:hAnsi="Arial" w:cs="Arial"/>
                <w:i/>
                <w:iCs/>
              </w:rPr>
              <w:t>Tamarix</w:t>
            </w:r>
            <w:proofErr w:type="spellEnd"/>
            <w:r w:rsidRPr="00561908">
              <w:rPr>
                <w:rFonts w:ascii="Arial" w:eastAsia="Calibri" w:hAnsi="Arial" w:cs="Arial"/>
              </w:rPr>
              <w:t xml:space="preserve"> spp</w:t>
            </w:r>
            <w:r>
              <w:rPr>
                <w:rFonts w:ascii="Arial" w:eastAsia="Calibri" w:hAnsi="Arial" w:cs="Arial"/>
              </w:rPr>
              <w:t>.</w:t>
            </w:r>
            <w:r w:rsidRPr="00561908">
              <w:rPr>
                <w:rFonts w:ascii="Arial" w:eastAsia="Calibri" w:hAnsi="Arial" w:cs="Arial"/>
              </w:rPr>
              <w:t xml:space="preserve"> </w:t>
            </w:r>
            <w:r>
              <w:rPr>
                <w:rFonts w:ascii="Arial" w:eastAsia="Calibri" w:hAnsi="Arial" w:cs="Arial"/>
              </w:rPr>
              <w:fldChar w:fldCharType="begin" w:fldLock="1"/>
            </w:r>
            <w:r>
              <w:rPr>
                <w:rFonts w:ascii="Arial" w:eastAsia="Calibri" w:hAnsi="Arial" w:cs="Arial"/>
              </w:rPr>
              <w:instrText>ADDIN CSL_CITATION {"citationItems":[{"id":"ITEM-1","itemData":{"ISSN":"10612971","abstract":"River systems around the world are subject to various perturbations, including the colonization and spread of non-native species in riparian zones. Riparian resource managers are commonly engaged in efforts to control problematic non-native species and restore native habitats. In western North America, small Eurasian trees or shrubs in the genus Tamarix occupy hundreds of thousands of hectares of riparian lands, and are the targets of substantial and costly control efforts and associated restoration activities. Still, significant information gaps exist regarding approaches used in control and restoration efforts and their effects on riparian ecosystems. In this special section of papers, eight articles address various aspects of control and restoration associated with Tamarix spp. These include articles focused on planning restoration and revegetation; a synthetic analysis of past restoration efforts; and several specific research endeavors examining plant responses, water use, and various wildlife responses (including birds, butterflies, and lizards). These articles represent important additions to the Tamarix spp. literature and contain many lessons and insights that should be transferable to other analogous situations in river systems globally. [ABSTRACT FROM AUTHOR]","author":[{"dropping-particle":"","family":"Shafroth","given":"Patrick B","non-dropping-particle":"","parse-names":false,"suffix":""},{"dropping-particle":"","family":"Briggs","given":"Mark K","non-dropping-particle":"","parse-names":false,"suffix":""}],"container-title":"Restoration Ecology","id":"ITEM-1","issue":"1","issued":{"date-parts":[["2008","3"]]},"note":"Accession Number: 31225337; Shafroth, Patrick B. 1; Email Address: shafrothp@usgs.gov Briggs, Mark K. 2; Affiliation: 1: U. S. Geological Survey, Fort Collins Science Center, 2150 Center Avenue, Building C. Fort Collins, CO 80526-8118, U.S.A. 2: World Wildlife Fund, Chihuahuan Desert Program, 100 E. Hadley Avenue, Las Cruces NM 88001, U.S.A.; Source Info: Mar2008, Vol. 16 Issue 1, p94; Subject Term: RESTORATION ecology; Subject Term: RIPARIAN plants; Subject Term: SALTCEDAR; Subject Term: TAMARISKS; Subject Term: SHRUBS; Subject Term: WATERSHEDS; Subject Term: REVEGETATION; Subject Term: SOIL conservation; Subject Term: NORTH America; Author-Supplied Keyword: invasive species; Author-Supplied Keyword: restoration; Author-Supplied Keyword: riparian; Author-Supplied Keyword: saltcedar; Author-Supplied Keyword: tamarisk; NAICS/Industry Codes: 111421 Nursery and Tree Production; Number of Pages: 3p; Document Type: Article","page":"94-96","title":"Restoration Ecology and Invasive Riparian Plants: An Introduction to the Special Section on Tamarix spp. in Western North America.","type":"article-journal","volume":"16"},"uris":["http://www.mendeley.com/documents/?uuid=e1a722a7-4fde-4027-a434-f2376abfaaef"]}],"mendeley":{"formattedCitation":"(Shafroth and Briggs 2008)","plainTextFormattedCitation":"(Shafroth and Briggs 2008)","previouslyFormattedCitation":"(Shafroth and Briggs 2008)"},"properties":{"noteIndex":0},"schema":"https://github.com/citation-style-language/schema/raw/master/csl-citation.json"}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(Shafroth and Briggs 2008)</w:t>
            </w:r>
            <w:r>
              <w:rPr>
                <w:rFonts w:ascii="Arial" w:eastAsia="Calibri" w:hAnsi="Arial" w:cs="Arial"/>
              </w:rPr>
              <w:fldChar w:fldCharType="end"/>
            </w:r>
            <w:r w:rsidRPr="00561908">
              <w:rPr>
                <w:rFonts w:ascii="Arial" w:eastAsia="Calibri" w:hAnsi="Arial" w:cs="Arial"/>
              </w:rPr>
              <w:t xml:space="preserve">. </w:t>
            </w:r>
          </w:p>
        </w:tc>
      </w:tr>
      <w:tr w:rsidR="00A237F8" w:rsidRPr="00561908" w14:paraId="0CE2B7D7" w14:textId="77777777" w:rsidTr="00123B30">
        <w:trPr>
          <w:trHeight w:val="315"/>
        </w:trPr>
        <w:tc>
          <w:tcPr>
            <w:tcW w:w="1419" w:type="dxa"/>
            <w:noWrap/>
            <w:hideMark/>
          </w:tcPr>
          <w:p w14:paraId="35D603A5" w14:textId="77777777" w:rsidR="00A237F8" w:rsidRPr="00561908" w:rsidRDefault="00A237F8" w:rsidP="00123B30">
            <w:pPr>
              <w:rPr>
                <w:rFonts w:ascii="Arial" w:eastAsia="Calibri" w:hAnsi="Arial" w:cs="Arial"/>
              </w:rPr>
            </w:pPr>
            <w:r w:rsidRPr="00561908">
              <w:rPr>
                <w:rFonts w:ascii="Arial" w:eastAsia="Calibri" w:hAnsi="Arial" w:cs="Arial"/>
              </w:rPr>
              <w:lastRenderedPageBreak/>
              <w:t>2009</w:t>
            </w:r>
          </w:p>
        </w:tc>
        <w:tc>
          <w:tcPr>
            <w:tcW w:w="7211" w:type="dxa"/>
            <w:noWrap/>
            <w:hideMark/>
          </w:tcPr>
          <w:p w14:paraId="6E56A41C" w14:textId="2D541127" w:rsidR="00A237F8" w:rsidRPr="00561908" w:rsidRDefault="00A237F8" w:rsidP="00123B30">
            <w:pPr>
              <w:rPr>
                <w:rFonts w:ascii="Arial" w:eastAsia="Calibri" w:hAnsi="Arial" w:cs="Arial"/>
              </w:rPr>
            </w:pPr>
            <w:r w:rsidRPr="00561908">
              <w:rPr>
                <w:rFonts w:ascii="Arial" w:eastAsia="Calibri" w:hAnsi="Arial" w:cs="Arial"/>
              </w:rPr>
              <w:t xml:space="preserve">The USGS </w:t>
            </w:r>
            <w:r w:rsidRPr="00561908">
              <w:rPr>
                <w:rFonts w:ascii="Arial" w:eastAsia="Calibri" w:hAnsi="Arial" w:cs="Arial"/>
              </w:rPr>
              <w:fldChar w:fldCharType="begin" w:fldLock="1"/>
            </w:r>
            <w:r>
              <w:rPr>
                <w:rFonts w:ascii="Arial" w:eastAsia="Calibri" w:hAnsi="Arial" w:cs="Arial"/>
              </w:rPr>
              <w:instrText>ADDIN CSL_CITATION {"citationItems":[{"id":"ITEM-1","itemData":{"editor":[{"dropping-particle":"","family":"Shafroth","given":"P.B.","non-dropping-particle":"","parse-names":false,"suffix":""},{"dropping-particle":"","family":"Brown","given":"C.A.","non-dropping-particle":"","parse-names":false,"suffix":""},{"dropping-particle":"","family":"Merritt","given":"D.M.","non-dropping-particle":"","parse-names":false,"suffix":""}],"id":"ITEM-1","issued":{"date-parts":[["2010"]]},"publisher":"United States Geological Survey","title":"Saltcedar and Russian olive control demonstration act science assessment. U.S. Geological Survey Scientific Investigations Report 2009-5247.","type":"book"},"uris":["http://www.mendeley.com/documents/?uuid=75db2b1e-f99b-46a4-a511-1596e31eb428"]}],"mendeley":{"formattedCitation":"(Shafroth et al. 2010)","plainTextFormattedCitation":"(Shafroth et al. 2010)","previouslyFormattedCitation":"(Shafroth et al. 2010)"},"properties":{"noteIndex":0},"schema":"https://github.com/citation-style-language/schema/raw/master/csl-citation.json"}</w:instrText>
            </w:r>
            <w:r w:rsidRPr="00561908">
              <w:rPr>
                <w:rFonts w:ascii="Arial" w:eastAsia="Calibri" w:hAnsi="Arial" w:cs="Arial"/>
              </w:rPr>
              <w:fldChar w:fldCharType="separate"/>
            </w:r>
            <w:r w:rsidRPr="00A237F8">
              <w:rPr>
                <w:rFonts w:ascii="Arial" w:eastAsia="Calibri" w:hAnsi="Arial" w:cs="Arial"/>
                <w:noProof/>
              </w:rPr>
              <w:t>(Shafroth et al. 2010)</w:t>
            </w:r>
            <w:r w:rsidRPr="00561908">
              <w:rPr>
                <w:rFonts w:ascii="Arial" w:eastAsia="Calibri" w:hAnsi="Arial" w:cs="Arial"/>
              </w:rPr>
              <w:fldChar w:fldCharType="end"/>
            </w:r>
            <w:r w:rsidRPr="00561908">
              <w:rPr>
                <w:rFonts w:ascii="Arial" w:eastAsia="Calibri" w:hAnsi="Arial" w:cs="Arial"/>
              </w:rPr>
              <w:t xml:space="preserve"> and an independent peer review panel organized by the Tamarisk Coalition come to the same conclusion that </w:t>
            </w:r>
            <w:proofErr w:type="spellStart"/>
            <w:r w:rsidRPr="00561908">
              <w:rPr>
                <w:rFonts w:ascii="Arial" w:eastAsia="Calibri" w:hAnsi="Arial" w:cs="Arial"/>
                <w:i/>
                <w:iCs/>
              </w:rPr>
              <w:t>Tamarix</w:t>
            </w:r>
            <w:proofErr w:type="spellEnd"/>
            <w:r w:rsidRPr="00561908">
              <w:rPr>
                <w:rFonts w:ascii="Arial" w:eastAsia="Calibri" w:hAnsi="Arial" w:cs="Arial"/>
              </w:rPr>
              <w:t xml:space="preserve"> uses approximately 700 to 1400 mm of water per year. As a reference, high-yield corn requires 500 to 650 mm (Colorado State University [CSU] Cooperative Extension 2008). </w:t>
            </w:r>
          </w:p>
        </w:tc>
      </w:tr>
      <w:tr w:rsidR="00A237F8" w:rsidRPr="00561908" w14:paraId="3127BE08" w14:textId="77777777" w:rsidTr="00123B30">
        <w:trPr>
          <w:trHeight w:val="315"/>
        </w:trPr>
        <w:tc>
          <w:tcPr>
            <w:tcW w:w="1419" w:type="dxa"/>
            <w:noWrap/>
            <w:hideMark/>
          </w:tcPr>
          <w:p w14:paraId="70B37BB5" w14:textId="77777777" w:rsidR="00A237F8" w:rsidRPr="00561908" w:rsidRDefault="00A237F8" w:rsidP="00123B30">
            <w:pPr>
              <w:rPr>
                <w:rFonts w:ascii="Arial" w:eastAsia="Calibri" w:hAnsi="Arial" w:cs="Arial"/>
              </w:rPr>
            </w:pPr>
            <w:r w:rsidRPr="00561908">
              <w:rPr>
                <w:rFonts w:ascii="Arial" w:eastAsia="Calibri" w:hAnsi="Arial" w:cs="Arial"/>
              </w:rPr>
              <w:t>2009</w:t>
            </w:r>
          </w:p>
        </w:tc>
        <w:tc>
          <w:tcPr>
            <w:tcW w:w="7211" w:type="dxa"/>
            <w:noWrap/>
            <w:hideMark/>
          </w:tcPr>
          <w:p w14:paraId="309DCF55" w14:textId="15CFAB8A" w:rsidR="00A237F8" w:rsidRPr="00561908" w:rsidRDefault="00A237F8" w:rsidP="00123B30">
            <w:pPr>
              <w:rPr>
                <w:rFonts w:ascii="Arial" w:eastAsia="Calibri" w:hAnsi="Arial" w:cs="Arial"/>
              </w:rPr>
            </w:pPr>
            <w:r w:rsidRPr="00561908">
              <w:rPr>
                <w:rFonts w:ascii="Arial" w:eastAsia="Calibri" w:hAnsi="Arial" w:cs="Arial"/>
              </w:rPr>
              <w:t xml:space="preserve">Stromberg et al. </w:t>
            </w:r>
            <w:r>
              <w:rPr>
                <w:rFonts w:ascii="Arial" w:eastAsia="Calibri" w:hAnsi="Arial" w:cs="Arial"/>
              </w:rPr>
              <w:fldChar w:fldCharType="begin" w:fldLock="1"/>
            </w:r>
            <w:r>
              <w:rPr>
                <w:rFonts w:ascii="Arial" w:eastAsia="Calibri" w:hAnsi="Arial" w:cs="Arial"/>
              </w:rPr>
              <w:instrText>ADDIN CSL_CITATION {"citationItems":[{"id":"ITEM-1","itemData":{"DOI":"http://dx.doi.org/10.1111/j.1526-100X.2008.00514.x","ISSN":"10612971","abstract":"AbstractInitially introduced to western United States to provide ecosystem services such as erosion control, Tamarix by the mid-1900s had became vilified as a profligate waster of water. This large shrub continues, today, to be indicted for various presumed environmental and economic costs, and millions of dollars are expended on its eradication. In this review, we examine the role of scientists in driving changes in perceptions of Tamarix from valuable import to vilified invader and (in some instances) back to a productive member of riparian plant communities. Scientists over the years have sustained a negative perception of Tamarix by, among other things, (1) citing outmoded sources; (2) inferring causation from correlative studies; (3) applying conclusions beyond the scope (domain) of the studies; and (4) emphasizing findings that present the species as an extreme or unnatural agent of change. Recent research is challenging the prevailing dogma regarding Tamarix's role in ecosystem function and habitat degradation and many scientists now recommend management shifts from 'pest plant' eradication to systemic, process-based restoration. However, prejudice against this and other non-native species persists. To further close the gap between science and management, it is important for scientists to strive to (1) cite sources appropriately; (2) avoid reflexive antiexotic bias; (3) avoid war-based and pestilence-based terminology; (4) heed the levels of certainty and the environmental domain of studies; (5) maintain up-to-date information on educational Web sites; and (6) prior to undertaking restoration or management actions, conduct a thorough and critical review of the literature.","author":[{"dropping-particle":"","family":"Stromberg","given":"Juliet C","non-dropping-particle":"","parse-names":false,"suffix":""},{"dropping-particle":"","family":"Chew","given":"Matthew K","non-dropping-particle":"","parse-names":false,"suffix":""},{"dropping-particle":"","family":"Nagler","given":"Pamela L","non-dropping-particle":"","parse-names":false,"suffix":""},{"dropping-particle":"","family":"Glenn","given":"Edward P","non-dropping-particle":"","parse-names":false,"suffix":""}],"container-title":"Restoration Ecology","id":"ITEM-1","issue":"2","issued":{"date-parts":[["2009","3"]]},"language":"English","note":"From Duplicate 1 (Changing Perceptions of Change: The Role of Scientists in Tamarix and River Management. - Stromberg, Juliet C; Chew, Matthew K; Nagler, Pamela L; Glenn, Edward P)\n\nAccession Number: 36816958; Stromberg, Juliet C. Chew, Matthew K. 1 Nagler, Pamela L. 2 Glenn, Edward P. 3; Affiliation: 1: School of Life Sciences, Arizona State University, Tempe, AZ 85287-4501, U.S.A. 2: U.S. Geological Survey, Southwest Biological Science Center, Sonoran Desert Research Station, University of Arizona, Tucson, AZ 85721, U.S.A. 3: Department of Soil, Water and Environmental Science, University of Arizona, Tucson, AZ 85706, U.S.A.; Source Info: Mar2009, Vol. 17 Issue 2, p177; Subject Term: TAMARISKS; Subject Term: INVASIVE plants; Subject Term: PLANT communities; Subject Term: RIPARIAN plants; Subject Term: PLANT ecology; Subject Term: RESTORATION ecology; Subject Term: PERCEPTION; Author-Supplied Keyword: anti-exotic bias; Author-Supplied Keyword: invasive species; Author-Supplied Keyword: riparian restoration; Author-Supplied Keyword: scientific rigor; Number of Pages: 10p; Document Type: Article\n\nFrom Duplicate 2 (Changing Perceptions of Change: The Role of Scientists in Tamarix and River Management - Stromberg, Juliet C; Chew, Matthew K; Nagler, Pamela L; Glenn, Edward P)\n\nDate revised - 2009-05-01\n\nLast updated - 2017-05-24\n\nSubjectsTermNotLitGenreText - Rivers; Geographical distribution; Habitat improvement; Aquatic plants; Riparian vegetation; Introduced species; Erosion control; Shrubs; Perception; Reviews; Economics; Plant communities; Pests; Habitat; pests; Degradation; erosion control; plant communities; Riparian environments; Soil erosion; imports; shrubs; Costs; Plant Populations; Import; Erosion Control; Ecosystems; Tamarix; USA","page":"177-186","publisher":"Blackwell Publishing Ltd., 9600 Garsington Road","publisher-place":"1School of Life Sciences, Arizona State University, Tempe, AZ 85287-4501, U.S.A.","title":"Changing Perceptions of Change: The Role of Scientists in Tamarix and River Management.","type":"article-journal","volume":"17"},"uris":["http://www.mendeley.com/documents/?uuid=536129c1-2f13-4730-9713-a5c775b2a18d"]}],"mendeley":{"formattedCitation":"(Stromberg et al. 2009)","manualFormatting":"(2009)","plainTextFormattedCitation":"(Stromberg et al. 2009)","previouslyFormattedCitation":"(Stromberg et al. 2009)"},"properties":{"noteIndex":0},"schema":"https://github.com/citation-style-language/schema/raw/master/csl-citation.json"}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(2009)</w:t>
            </w:r>
            <w:r>
              <w:rPr>
                <w:rFonts w:ascii="Arial" w:eastAsia="Calibri" w:hAnsi="Arial" w:cs="Arial"/>
              </w:rPr>
              <w:fldChar w:fldCharType="end"/>
            </w:r>
            <w:r w:rsidRPr="00561908">
              <w:rPr>
                <w:rFonts w:ascii="Arial" w:eastAsia="Calibri" w:hAnsi="Arial" w:cs="Arial"/>
              </w:rPr>
              <w:t xml:space="preserve"> and Chew</w:t>
            </w:r>
            <w:r>
              <w:rPr>
                <w:rFonts w:ascii="Arial" w:eastAsia="Calibri" w:hAnsi="Arial" w:cs="Arial"/>
              </w:rPr>
              <w:t xml:space="preserve"> </w:t>
            </w:r>
            <w:r>
              <w:rPr>
                <w:rFonts w:ascii="Arial" w:eastAsia="Calibri" w:hAnsi="Arial" w:cs="Arial"/>
              </w:rPr>
              <w:fldChar w:fldCharType="begin" w:fldLock="1"/>
            </w:r>
            <w:r w:rsidR="002A3DA4">
              <w:rPr>
                <w:rFonts w:ascii="Arial" w:eastAsia="Calibri" w:hAnsi="Arial" w:cs="Arial"/>
              </w:rPr>
              <w:instrText>ADDIN CSL_CITATION {"citationItems":[{"id":"ITEM-1","itemData":{"ISSN":"00225010","abstract":"Dispersal of biota by humans is a hallmark of civilization, but the results are often unforeseen and sometimes costly. Like kudzu vine in the American South, some examples become the stuff of regional folklore. In recent decades, “invasion biology,” conservation-motivated scientists and their allies have focused largely on the most negative outcomes and often promoted the perception that introduced species are monsters. However, cases of monstering by scientists preceded the rise of popular environmentalism. The story of tamarisk ( Tamarix spp.), flowering trees and shrubs imported to New England sometime before 1818, provides an example of scientific “monstering” and shows how slaying the monster, rather than allaying its impacts, became a goal in itself. Tamarisks’ drought and salt tolerance suggested usefulness for both coastal and inland erosion control, and politicians as well as academic and agency scientists promoted planting them in the southern Great Plains and Southwest. But when erosion control efforts in Arizona, New Mexico and Texas became entangled with water shortages, economic development during the Depression and copper mining for national defense during World War Two, federal hydrologists moved quickly to recast tamarisks as water-wasting foreign monsters. Demonstrating significant water salvage was difficult and became subsidiary to focusing on ways to eradicate the plants, and a federal interagency effort devoted specifically to the latter purpose was organized and continued until it, in turn, conflicted with regional environmental concerns in the late 1960s. [ABSTRACT FROM AUTHOR]","author":[{"dropping-particle":"","family":"Chew","given":"Matthew","non-dropping-particle":"","parse-names":false,"suffix":""}],"container-title":"Journal of the History of Biology","id":"ITEM-1","issue":"2","issued":{"date-parts":[["2009"]]},"note":"Accession Number: 42211243; Chew, Matthew 1; Email Address: anekeia@gmail.com; Affiliation:  1: Center for Biology and Society, Arizona State University, Tempe 85287-3301 USA; Source Info: Summer2009, Vol. 42 Issue 2, p231; Subject Term: SALTCEDAR; Subject Term: TAMARISKS; Subject Term: INVASIVE plants; Subject Term: SOIL conservation; Subject Term: PHREATOPHYTES; Subject Term: GROUNDWATER management; Subject Term: NEW Deal, 1933-1939; Subject Term: NEW Southwest (U.S.); Author-Supplied Keyword: erosion control; Author-Supplied Keyword: groundwater; Author-Supplied Keyword: hydrology; Author-Supplied Keyword: introduced species; Author-Supplied Keyword: monsters; Author-Supplied Keyword: new deal; Author-Supplied Keyword: phreato-phyte control; Author-Supplied Keyword: plant ecology; Author-Supplied Keyword: Reclamation Act; Author-Supplied Keyword: salt cedar; Author-Supplied Keyword: scientific practice; Author-Supplied Keyword: Southwestern United States; Author-Supplied Keyword: tamarisk; Number of Pages: 36p; Illustrations: 2 Black and White Photographs; Document Type: Article","page":"231-266","title":"The Monstering of Tamarisk: How Scientists made a Plant into a Problem.","type":"article-journal","volume":"42"},"uris":["http://www.mendeley.com/documents/?uuid=413dc8b6-204a-42ea-b300-122ac3f1a735"]}],"mendeley":{"formattedCitation":"(Chew 2009)","manualFormatting":"(2009)","plainTextFormattedCitation":"(Chew 2009)","previouslyFormattedCitation":"(Chew 2009)"},"properties":{"noteIndex":0},"schema":"https://github.com/citation-style-language/schema/raw/master/csl-citation.json"}</w:instrText>
            </w:r>
            <w:r>
              <w:rPr>
                <w:rFonts w:ascii="Arial" w:eastAsia="Calibri" w:hAnsi="Arial" w:cs="Arial"/>
              </w:rPr>
              <w:fldChar w:fldCharType="separate"/>
            </w:r>
            <w:r w:rsidRPr="00A237F8">
              <w:rPr>
                <w:rFonts w:ascii="Arial" w:eastAsia="Calibri" w:hAnsi="Arial" w:cs="Arial"/>
                <w:noProof/>
              </w:rPr>
              <w:t>(2009)</w:t>
            </w:r>
            <w:r>
              <w:rPr>
                <w:rFonts w:ascii="Arial" w:eastAsia="Calibri" w:hAnsi="Arial" w:cs="Arial"/>
              </w:rPr>
              <w:fldChar w:fldCharType="end"/>
            </w:r>
            <w:r w:rsidRPr="00561908">
              <w:rPr>
                <w:rFonts w:ascii="Arial" w:eastAsia="Calibri" w:hAnsi="Arial" w:cs="Arial"/>
              </w:rPr>
              <w:t xml:space="preserve"> call for more rigor among scientific studies on </w:t>
            </w:r>
            <w:proofErr w:type="spellStart"/>
            <w:r w:rsidRPr="00561908">
              <w:rPr>
                <w:rFonts w:ascii="Arial" w:eastAsia="Calibri" w:hAnsi="Arial" w:cs="Arial"/>
                <w:i/>
                <w:iCs/>
              </w:rPr>
              <w:t>Tamarix</w:t>
            </w:r>
            <w:proofErr w:type="spellEnd"/>
            <w:r w:rsidRPr="00561908">
              <w:rPr>
                <w:rFonts w:ascii="Arial" w:eastAsia="Calibri" w:hAnsi="Arial" w:cs="Arial"/>
              </w:rPr>
              <w:t>, especially with regard to water use, soil salinization, and species replacement, which they claim had been overstated.</w:t>
            </w:r>
          </w:p>
        </w:tc>
      </w:tr>
      <w:tr w:rsidR="00A237F8" w:rsidRPr="00561908" w14:paraId="41B30C90" w14:textId="77777777" w:rsidTr="00123B30">
        <w:trPr>
          <w:trHeight w:val="315"/>
        </w:trPr>
        <w:tc>
          <w:tcPr>
            <w:tcW w:w="1419" w:type="dxa"/>
            <w:shd w:val="clear" w:color="auto" w:fill="D9D9D9" w:themeFill="background1" w:themeFillShade="D9"/>
            <w:noWrap/>
            <w:hideMark/>
          </w:tcPr>
          <w:p w14:paraId="5CB1FDB0" w14:textId="77777777" w:rsidR="00A237F8" w:rsidRPr="00561908" w:rsidRDefault="00A237F8" w:rsidP="00123B30">
            <w:pPr>
              <w:rPr>
                <w:rFonts w:ascii="Arial" w:eastAsia="Calibri" w:hAnsi="Arial" w:cs="Arial"/>
              </w:rPr>
            </w:pPr>
            <w:r w:rsidRPr="00561908">
              <w:rPr>
                <w:rFonts w:ascii="Arial" w:eastAsia="Calibri" w:hAnsi="Arial" w:cs="Arial"/>
              </w:rPr>
              <w:t>2010</w:t>
            </w:r>
          </w:p>
        </w:tc>
        <w:tc>
          <w:tcPr>
            <w:tcW w:w="7211" w:type="dxa"/>
            <w:shd w:val="clear" w:color="auto" w:fill="D9D9D9" w:themeFill="background1" w:themeFillShade="D9"/>
            <w:noWrap/>
            <w:hideMark/>
          </w:tcPr>
          <w:p w14:paraId="335E3F66" w14:textId="4ADECAAE" w:rsidR="00A237F8" w:rsidRPr="00561908" w:rsidRDefault="00A237F8" w:rsidP="00123B30">
            <w:pPr>
              <w:rPr>
                <w:rFonts w:ascii="Arial" w:eastAsia="Calibri" w:hAnsi="Arial" w:cs="Arial"/>
              </w:rPr>
            </w:pPr>
            <w:r w:rsidRPr="00561908">
              <w:rPr>
                <w:rFonts w:ascii="Arial" w:eastAsia="Calibri" w:hAnsi="Arial" w:cs="Arial"/>
              </w:rPr>
              <w:t xml:space="preserve">With pressure from wildlife conservationists concerned about </w:t>
            </w:r>
            <w:proofErr w:type="spellStart"/>
            <w:r w:rsidRPr="00561908">
              <w:rPr>
                <w:rFonts w:ascii="Arial" w:eastAsia="Calibri" w:hAnsi="Arial" w:cs="Arial"/>
                <w:i/>
                <w:iCs/>
              </w:rPr>
              <w:t>Tamarix</w:t>
            </w:r>
            <w:proofErr w:type="spellEnd"/>
            <w:r w:rsidRPr="00561908">
              <w:rPr>
                <w:rFonts w:ascii="Arial" w:eastAsia="Calibri" w:hAnsi="Arial" w:cs="Arial"/>
              </w:rPr>
              <w:t xml:space="preserve"> being used by federally</w:t>
            </w:r>
            <w:r w:rsidR="00B86144">
              <w:rPr>
                <w:rFonts w:ascii="Arial" w:eastAsia="Calibri" w:hAnsi="Arial" w:cs="Arial"/>
              </w:rPr>
              <w:t xml:space="preserve"> </w:t>
            </w:r>
            <w:r w:rsidRPr="00561908">
              <w:rPr>
                <w:rFonts w:ascii="Arial" w:eastAsia="Calibri" w:hAnsi="Arial" w:cs="Arial"/>
              </w:rPr>
              <w:t xml:space="preserve">listed bird species (southwestern willow flycatcher), APHIS terminates the </w:t>
            </w:r>
            <w:proofErr w:type="spellStart"/>
            <w:r w:rsidRPr="00561908">
              <w:rPr>
                <w:rFonts w:ascii="Arial" w:eastAsia="Calibri" w:hAnsi="Arial" w:cs="Arial"/>
                <w:i/>
                <w:iCs/>
              </w:rPr>
              <w:t>Tamarix</w:t>
            </w:r>
            <w:proofErr w:type="spellEnd"/>
            <w:r w:rsidRPr="00561908">
              <w:rPr>
                <w:rFonts w:ascii="Arial" w:eastAsia="Calibri" w:hAnsi="Arial" w:cs="Arial"/>
              </w:rPr>
              <w:t xml:space="preserve"> biological control program by ceasing to issue new permits for interstate movement of </w:t>
            </w:r>
            <w:proofErr w:type="spellStart"/>
            <w:r w:rsidRPr="00561908">
              <w:rPr>
                <w:rFonts w:ascii="Arial" w:eastAsia="Calibri" w:hAnsi="Arial" w:cs="Arial"/>
                <w:i/>
                <w:iCs/>
              </w:rPr>
              <w:t>Diorhabda</w:t>
            </w:r>
            <w:proofErr w:type="spellEnd"/>
            <w:r w:rsidRPr="00561908">
              <w:rPr>
                <w:rFonts w:ascii="Arial" w:eastAsia="Calibri" w:hAnsi="Arial" w:cs="Arial"/>
              </w:rPr>
              <w:t xml:space="preserve"> and by revoking extant permits.</w:t>
            </w:r>
          </w:p>
        </w:tc>
      </w:tr>
      <w:tr w:rsidR="00A237F8" w:rsidRPr="00561908" w14:paraId="388E231F" w14:textId="77777777" w:rsidTr="00123B30">
        <w:trPr>
          <w:trHeight w:val="315"/>
        </w:trPr>
        <w:tc>
          <w:tcPr>
            <w:tcW w:w="1419" w:type="dxa"/>
            <w:noWrap/>
            <w:hideMark/>
          </w:tcPr>
          <w:p w14:paraId="0CF5C85B" w14:textId="77777777" w:rsidR="00A237F8" w:rsidRPr="00561908" w:rsidRDefault="00A237F8" w:rsidP="00123B30">
            <w:pPr>
              <w:rPr>
                <w:rFonts w:ascii="Arial" w:eastAsia="Calibri" w:hAnsi="Arial" w:cs="Arial"/>
              </w:rPr>
            </w:pPr>
            <w:r w:rsidRPr="00561908">
              <w:rPr>
                <w:rFonts w:ascii="Arial" w:eastAsia="Calibri" w:hAnsi="Arial" w:cs="Arial"/>
              </w:rPr>
              <w:t>2010</w:t>
            </w:r>
          </w:p>
        </w:tc>
        <w:tc>
          <w:tcPr>
            <w:tcW w:w="7211" w:type="dxa"/>
            <w:noWrap/>
            <w:hideMark/>
          </w:tcPr>
          <w:p w14:paraId="4C140EF1" w14:textId="77777777" w:rsidR="00A237F8" w:rsidRPr="00561908" w:rsidRDefault="00A237F8" w:rsidP="00123B30">
            <w:pPr>
              <w:rPr>
                <w:rFonts w:ascii="Arial" w:eastAsia="Calibri" w:hAnsi="Arial" w:cs="Arial"/>
              </w:rPr>
            </w:pPr>
            <w:r w:rsidRPr="00561908">
              <w:rPr>
                <w:rFonts w:ascii="Arial" w:eastAsia="Calibri" w:hAnsi="Arial" w:cs="Arial"/>
              </w:rPr>
              <w:t xml:space="preserve">Hultine et al. (2010) </w:t>
            </w:r>
            <w:proofErr w:type="gramStart"/>
            <w:r w:rsidRPr="00561908">
              <w:rPr>
                <w:rFonts w:ascii="Arial" w:eastAsia="Calibri" w:hAnsi="Arial" w:cs="Arial"/>
              </w:rPr>
              <w:t>examine</w:t>
            </w:r>
            <w:proofErr w:type="gramEnd"/>
            <w:r w:rsidRPr="00561908">
              <w:rPr>
                <w:rFonts w:ascii="Arial" w:eastAsia="Calibri" w:hAnsi="Arial" w:cs="Arial"/>
              </w:rPr>
              <w:t xml:space="preserve"> the possible unintended negative consequences of </w:t>
            </w:r>
            <w:proofErr w:type="spellStart"/>
            <w:r w:rsidRPr="00123B30">
              <w:rPr>
                <w:rFonts w:ascii="Arial" w:eastAsia="Calibri" w:hAnsi="Arial" w:cs="Arial"/>
                <w:i/>
                <w:iCs/>
              </w:rPr>
              <w:t>Tamarix</w:t>
            </w:r>
            <w:proofErr w:type="spellEnd"/>
            <w:r w:rsidRPr="00561908">
              <w:rPr>
                <w:rFonts w:ascii="Arial" w:eastAsia="Calibri" w:hAnsi="Arial" w:cs="Arial"/>
              </w:rPr>
              <w:t xml:space="preserve"> biocontrol and offer recommendations to reduce potential negative impacts on valued riparian systems in the western US.</w:t>
            </w:r>
          </w:p>
        </w:tc>
      </w:tr>
      <w:tr w:rsidR="00A237F8" w:rsidRPr="00561908" w14:paraId="6148795B" w14:textId="77777777" w:rsidTr="00123B30">
        <w:trPr>
          <w:trHeight w:val="315"/>
        </w:trPr>
        <w:tc>
          <w:tcPr>
            <w:tcW w:w="1419" w:type="dxa"/>
            <w:noWrap/>
            <w:hideMark/>
          </w:tcPr>
          <w:p w14:paraId="3FE6217F" w14:textId="77777777" w:rsidR="00A237F8" w:rsidRPr="00561908" w:rsidRDefault="00A237F8" w:rsidP="00123B30">
            <w:pPr>
              <w:rPr>
                <w:rFonts w:ascii="Arial" w:eastAsia="Calibri" w:hAnsi="Arial" w:cs="Arial"/>
              </w:rPr>
            </w:pPr>
            <w:r w:rsidRPr="00561908">
              <w:rPr>
                <w:rFonts w:ascii="Arial" w:eastAsia="Calibri" w:hAnsi="Arial" w:cs="Arial"/>
              </w:rPr>
              <w:t>2012</w:t>
            </w:r>
          </w:p>
        </w:tc>
        <w:tc>
          <w:tcPr>
            <w:tcW w:w="7211" w:type="dxa"/>
            <w:noWrap/>
            <w:hideMark/>
          </w:tcPr>
          <w:p w14:paraId="7A9FD8AE" w14:textId="1F24C01A" w:rsidR="00A237F8" w:rsidRPr="00561908" w:rsidRDefault="00A237F8" w:rsidP="00123B30">
            <w:pPr>
              <w:rPr>
                <w:rFonts w:ascii="Arial" w:eastAsia="Calibri" w:hAnsi="Arial" w:cs="Arial"/>
              </w:rPr>
            </w:pPr>
            <w:proofErr w:type="spellStart"/>
            <w:r w:rsidRPr="00561908">
              <w:rPr>
                <w:rFonts w:ascii="Arial" w:eastAsia="Calibri" w:hAnsi="Arial" w:cs="Arial"/>
              </w:rPr>
              <w:t>Shafroth</w:t>
            </w:r>
            <w:proofErr w:type="spellEnd"/>
            <w:r w:rsidRPr="00561908">
              <w:rPr>
                <w:rFonts w:ascii="Arial" w:eastAsia="Calibri" w:hAnsi="Arial" w:cs="Arial"/>
              </w:rPr>
              <w:t xml:space="preserve"> and Merritt </w:t>
            </w:r>
            <w:r w:rsidR="002A3DA4">
              <w:rPr>
                <w:rFonts w:ascii="Arial" w:eastAsia="Calibri" w:hAnsi="Arial" w:cs="Arial"/>
              </w:rPr>
              <w:fldChar w:fldCharType="begin" w:fldLock="1"/>
            </w:r>
            <w:r w:rsidR="002A3DA4">
              <w:rPr>
                <w:rFonts w:ascii="Arial" w:eastAsia="Calibri" w:hAnsi="Arial" w:cs="Arial"/>
              </w:rPr>
              <w:instrText>ADDIN CSL_CITATION {"citationItems":[{"id":"ITEM-1","itemData":{"editor":[{"dropping-particle":"","family":"Shafroth","given":"P.B.","non-dropping-particle":"","parse-names":false,"suffix":""},{"dropping-particle":"","family":"Brown","given":"C.A.","non-dropping-particle":"","parse-names":false,"suffix":""},{"dropping-particle":"","family":"Merritt","given":"D.M.","non-dropping-particle":"","parse-names":false,"suffix":""}],"id":"ITEM-1","issued":{"date-parts":[["2010"]]},"publisher":"United States Geological Survey","title":"Saltcedar and Russian olive control demonstration act science assessment. U.S. Geological Survey Scientific Investigations Report 2009-5247.","type":"book"},"uris":["http://www.mendeley.com/documents/?uuid=75db2b1e-f99b-46a4-a511-1596e31eb428"]}],"mendeley":{"formattedCitation":"(Shafroth et al. 2010)","manualFormatting":"(2010)","plainTextFormattedCitation":"(Shafroth et al. 2010)","previouslyFormattedCitation":"(Shafroth et al. 2010)"},"properties":{"noteIndex":0},"schema":"https://github.com/citation-style-language/schema/raw/master/csl-citation.json"}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(2010)</w:t>
            </w:r>
            <w:r w:rsidR="002A3DA4">
              <w:rPr>
                <w:rFonts w:ascii="Arial" w:eastAsia="Calibri" w:hAnsi="Arial" w:cs="Arial"/>
              </w:rPr>
              <w:fldChar w:fldCharType="end"/>
            </w:r>
            <w:r w:rsidR="002A3DA4">
              <w:rPr>
                <w:rFonts w:ascii="Arial" w:eastAsia="Calibri" w:hAnsi="Arial" w:cs="Arial"/>
              </w:rPr>
              <w:t xml:space="preserve"> </w:t>
            </w:r>
            <w:r w:rsidRPr="00561908">
              <w:rPr>
                <w:rFonts w:ascii="Arial" w:eastAsia="Calibri" w:hAnsi="Arial" w:cs="Arial"/>
              </w:rPr>
              <w:t xml:space="preserve">show that alteration of natural fluvial processes by flow regulation and channelization may contribute to severe soil salinization in areas where </w:t>
            </w:r>
            <w:proofErr w:type="spellStart"/>
            <w:r w:rsidRPr="00561908">
              <w:rPr>
                <w:rFonts w:ascii="Arial" w:eastAsia="Calibri" w:hAnsi="Arial" w:cs="Arial"/>
                <w:i/>
                <w:iCs/>
              </w:rPr>
              <w:t>Tamarix</w:t>
            </w:r>
            <w:proofErr w:type="spellEnd"/>
            <w:r w:rsidRPr="00561908">
              <w:rPr>
                <w:rFonts w:ascii="Arial" w:eastAsia="Calibri" w:hAnsi="Arial" w:cs="Arial"/>
              </w:rPr>
              <w:t xml:space="preserve"> is present and cause soil salinization even in the absence of </w:t>
            </w:r>
            <w:proofErr w:type="spellStart"/>
            <w:r w:rsidRPr="00561908">
              <w:rPr>
                <w:rFonts w:ascii="Arial" w:eastAsia="Calibri" w:hAnsi="Arial" w:cs="Arial"/>
                <w:i/>
                <w:iCs/>
              </w:rPr>
              <w:t>Tamarix</w:t>
            </w:r>
            <w:proofErr w:type="spellEnd"/>
            <w:r w:rsidRPr="00561908">
              <w:rPr>
                <w:rFonts w:ascii="Arial" w:eastAsia="Calibri" w:hAnsi="Arial" w:cs="Arial"/>
              </w:rPr>
              <w:t>.</w:t>
            </w:r>
          </w:p>
        </w:tc>
      </w:tr>
      <w:tr w:rsidR="00A237F8" w:rsidRPr="00561908" w14:paraId="0B961797" w14:textId="77777777" w:rsidTr="00123B30">
        <w:trPr>
          <w:trHeight w:val="315"/>
        </w:trPr>
        <w:tc>
          <w:tcPr>
            <w:tcW w:w="1419" w:type="dxa"/>
            <w:noWrap/>
            <w:hideMark/>
          </w:tcPr>
          <w:p w14:paraId="34647280" w14:textId="77777777" w:rsidR="00A237F8" w:rsidRPr="00561908" w:rsidRDefault="00A237F8" w:rsidP="00123B30">
            <w:pPr>
              <w:rPr>
                <w:rFonts w:ascii="Arial" w:eastAsia="Calibri" w:hAnsi="Arial" w:cs="Arial"/>
              </w:rPr>
            </w:pPr>
            <w:r w:rsidRPr="00561908">
              <w:rPr>
                <w:rFonts w:ascii="Arial" w:eastAsia="Calibri" w:hAnsi="Arial" w:cs="Arial"/>
              </w:rPr>
              <w:t>2012</w:t>
            </w:r>
          </w:p>
        </w:tc>
        <w:tc>
          <w:tcPr>
            <w:tcW w:w="7211" w:type="dxa"/>
            <w:noWrap/>
            <w:hideMark/>
          </w:tcPr>
          <w:p w14:paraId="0C895532" w14:textId="508CA5F6" w:rsidR="00A237F8" w:rsidRPr="00561908" w:rsidRDefault="00A237F8" w:rsidP="00123B30">
            <w:pPr>
              <w:rPr>
                <w:rFonts w:ascii="Arial" w:eastAsia="Calibri" w:hAnsi="Arial" w:cs="Arial"/>
              </w:rPr>
            </w:pPr>
            <w:r w:rsidRPr="00561908">
              <w:rPr>
                <w:rFonts w:ascii="Arial" w:eastAsia="Calibri" w:hAnsi="Arial" w:cs="Arial"/>
              </w:rPr>
              <w:t xml:space="preserve">Nagler et al. </w:t>
            </w:r>
            <w:r w:rsidR="002A3DA4">
              <w:rPr>
                <w:rFonts w:ascii="Arial" w:eastAsia="Calibri" w:hAnsi="Arial" w:cs="Arial"/>
              </w:rPr>
              <w:fldChar w:fldCharType="begin" w:fldLock="1"/>
            </w:r>
            <w:r w:rsidR="002A3DA4">
              <w:rPr>
                <w:rFonts w:ascii="Arial" w:eastAsia="Calibri" w:hAnsi="Arial" w:cs="Arial"/>
              </w:rPr>
              <w:instrText>ADDIN CSL_CITATION {"citationItems":[{"id":"ITEM-1","itemData":{"DOI":"10.1016/j.rse.2011.11.011","ISSN":"00344257","abstract":"Tamarix leaf beetles (Diorhabda carinulata) have been widely released on western U.S. rivers to control introduced shrubs in the genus Tamarix. Part of the motivation to control Tamarix is to salvage water for human use. Information is needed on the impact of beetles on Tamarix seasonal leaf production and subsequent water use over wide areas and multiple cycles of annual defoliation. Here we combine ground data with high resolution phenocam imagery and moderate resolution (Landsat) and coarser resolution (MODIS) satellite imagery to test the effects of beetles on Tamarix evapotranspiration (ET) and leaf phenology at sites on six western rivers. Satellite imagery covered the period 2000 to 2010 which encompassed years before and after beetle release at each study site. Phenocam images showed that beetles reduced green leaf cover of individual canopies by about 30% during a 6-8week period in summer, but plants produced new leaves after beetles became dormant in August, and over three years no net reduction in peak summer leaf production was noted. ET was estimated by vegetation index methods, and both Landsat and MODIS analyses showed that beetles reduced ET markedly in the first year of defoliation, but ET recovered in subsequent years. Over all six sites, ET decreased by 14% to 15% by Landsat and MODIS estimates, respectively. However, results were variable among sites, ranging from no apparent effect on ET to substantial reduction in ET. Baseline ET rates before defoliation were low, 394mmyr -1 by Landsat and 314mmyr -1 by MODIS estimates (20-25% of potential ET), further constraining the amount of water that could be salvaged. Beetle-Tamarix interactions are in their early stage of development on this continent and it is too soon to predict the eventual extent to which Tamarix populations will be reduced. The utility of remote sensing methods for monitoring defoliation was constrained by the small area covered by each phenocam image, the low temporal resolution of Landsat, and the low spatial resolution of MODIS imagery. Even combined image sets did not adequately reveal the details of the defoliation process, and remote sensing data should be combined with ground observations to develop operational monitoring protocols. © 2011 .","author":[{"dropping-particle":"","family":"Nagler","given":"Pamela L.","non-dropping-particle":"","parse-names":false,"suffix":""},{"dropping-particle":"","family":"Brown","given":"Tim","non-dropping-particle":"","parse-names":false,"suffix":""},{"dropping-particle":"","family":"Hultine","given":"Kevin R.","non-dropping-particle":"","parse-names":false,"suffix":""},{"dropping-particle":"","family":"Riper","given":"Charles","non-dropping-particle":"van","parse-names":false,"suffix":""},{"dropping-particle":"","family":"Bean","given":"Daniel W.","non-dropping-particle":"","parse-names":false,"suffix":""},{"dropping-particle":"","family":"Dennison","given":"Philip E.","non-dropping-particle":"","parse-names":false,"suffix":""},{"dropping-particle":"","family":"Murray","given":"R. Scott","non-dropping-particle":"","parse-names":false,"suffix":""},{"dropping-particle":"","family":"Glenn","given":"Edward P.","non-dropping-particle":"","parse-names":false,"suffix":""}],"container-title":"Remote Sensing of Environment","id":"ITEM-1","issued":{"date-parts":[["2012"]]},"page":"227-240","publisher":"Elsevier B.V.","title":"Regional scale impacts of Tamarix leaf beetles (Diorhabda carinulata) on the water availability of western U.S. rivers as determined by multi-scale remote sensing methods","type":"article-journal","volume":"118"},"uris":["http://www.mendeley.com/documents/?uuid=15ed16a1-db1f-49ca-9892-b28d1e3ee0ae"]}],"mendeley":{"formattedCitation":"(Nagler et al. 2012)","manualFormatting":"(2012)","plainTextFormattedCitation":"(Nagler et al. 2012)","previouslyFormattedCitation":"(Nagler et al. 2012)"},"properties":{"noteIndex":0},"schema":"https://github.com/citation-style-language/schema/raw/master/csl-citation.json"}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(2012)</w:t>
            </w:r>
            <w:r w:rsidR="002A3DA4">
              <w:rPr>
                <w:rFonts w:ascii="Arial" w:eastAsia="Calibri" w:hAnsi="Arial" w:cs="Arial"/>
              </w:rPr>
              <w:fldChar w:fldCharType="end"/>
            </w:r>
            <w:r w:rsidR="002A3DA4">
              <w:rPr>
                <w:rFonts w:ascii="Arial" w:eastAsia="Calibri" w:hAnsi="Arial" w:cs="Arial"/>
              </w:rPr>
              <w:t xml:space="preserve"> </w:t>
            </w:r>
            <w:r w:rsidRPr="00561908">
              <w:rPr>
                <w:rFonts w:ascii="Arial" w:eastAsia="Calibri" w:hAnsi="Arial" w:cs="Arial"/>
              </w:rPr>
              <w:t>appl</w:t>
            </w:r>
            <w:r w:rsidR="002A3DA4">
              <w:rPr>
                <w:rFonts w:ascii="Arial" w:eastAsia="Calibri" w:hAnsi="Arial" w:cs="Arial"/>
              </w:rPr>
              <w:t>y</w:t>
            </w:r>
            <w:r w:rsidRPr="00561908">
              <w:rPr>
                <w:rFonts w:ascii="Arial" w:eastAsia="Calibri" w:hAnsi="Arial" w:cs="Arial"/>
              </w:rPr>
              <w:t xml:space="preserve"> for the first time remote sensing tools for monitoring the effects of </w:t>
            </w:r>
            <w:proofErr w:type="spellStart"/>
            <w:r w:rsidRPr="00561908">
              <w:rPr>
                <w:rFonts w:ascii="Arial" w:eastAsia="Calibri" w:hAnsi="Arial" w:cs="Arial"/>
                <w:i/>
                <w:iCs/>
              </w:rPr>
              <w:t>Diorhabda</w:t>
            </w:r>
            <w:proofErr w:type="spellEnd"/>
            <w:r w:rsidRPr="00561908">
              <w:rPr>
                <w:rFonts w:ascii="Arial" w:eastAsia="Calibri" w:hAnsi="Arial" w:cs="Arial"/>
              </w:rPr>
              <w:t xml:space="preserve"> beetles on riparian evapotranspiration. They document the </w:t>
            </w:r>
            <w:proofErr w:type="gramStart"/>
            <w:r w:rsidRPr="00561908">
              <w:rPr>
                <w:rFonts w:ascii="Arial" w:eastAsia="Calibri" w:hAnsi="Arial" w:cs="Arial"/>
              </w:rPr>
              <w:t>high water</w:t>
            </w:r>
            <w:proofErr w:type="gramEnd"/>
            <w:r w:rsidRPr="00561908">
              <w:rPr>
                <w:rFonts w:ascii="Arial" w:eastAsia="Calibri" w:hAnsi="Arial" w:cs="Arial"/>
              </w:rPr>
              <w:t xml:space="preserve"> losses from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stands and generally temporary decreases in water loss from beetle defoliation.</w:t>
            </w:r>
          </w:p>
        </w:tc>
      </w:tr>
      <w:tr w:rsidR="00A237F8" w:rsidRPr="00561908" w14:paraId="35846630" w14:textId="77777777" w:rsidTr="00123B30">
        <w:trPr>
          <w:trHeight w:val="315"/>
        </w:trPr>
        <w:tc>
          <w:tcPr>
            <w:tcW w:w="1419" w:type="dxa"/>
            <w:noWrap/>
            <w:hideMark/>
          </w:tcPr>
          <w:p w14:paraId="1813A6B8" w14:textId="77777777" w:rsidR="00A237F8" w:rsidRPr="00561908" w:rsidRDefault="00A237F8" w:rsidP="00123B30">
            <w:pPr>
              <w:rPr>
                <w:rFonts w:ascii="Arial" w:eastAsia="Calibri" w:hAnsi="Arial" w:cs="Arial"/>
              </w:rPr>
            </w:pPr>
            <w:r w:rsidRPr="00561908">
              <w:rPr>
                <w:rFonts w:ascii="Arial" w:eastAsia="Calibri" w:hAnsi="Arial" w:cs="Arial"/>
              </w:rPr>
              <w:t>2013</w:t>
            </w:r>
          </w:p>
        </w:tc>
        <w:tc>
          <w:tcPr>
            <w:tcW w:w="7211" w:type="dxa"/>
            <w:noWrap/>
            <w:hideMark/>
          </w:tcPr>
          <w:p w14:paraId="44EF906C" w14:textId="119D28BF" w:rsidR="00A237F8" w:rsidRPr="00561908" w:rsidRDefault="00A237F8" w:rsidP="00123B30">
            <w:pPr>
              <w:rPr>
                <w:rFonts w:ascii="Arial" w:eastAsia="Calibri" w:hAnsi="Arial" w:cs="Arial"/>
              </w:rPr>
            </w:pPr>
            <w:r w:rsidRPr="00561908">
              <w:rPr>
                <w:rFonts w:ascii="Arial" w:eastAsia="Calibri" w:hAnsi="Arial" w:cs="Arial"/>
              </w:rPr>
              <w:t xml:space="preserve">Sher and Quigley </w:t>
            </w:r>
            <w:r w:rsidR="002A3DA4">
              <w:rPr>
                <w:rFonts w:ascii="Arial" w:eastAsia="Calibri" w:hAnsi="Arial" w:cs="Arial"/>
              </w:rPr>
              <w:fldChar w:fldCharType="begin" w:fldLock="1"/>
            </w:r>
            <w:r w:rsidR="002A3DA4">
              <w:rPr>
                <w:rFonts w:ascii="Arial" w:eastAsia="Calibri" w:hAnsi="Arial" w:cs="Arial"/>
              </w:rPr>
              <w:instrText>ADDIN CSL_CITATION {"citationItems":[{"id":"ITEM-1","itemData":{"author":[{"dropping-particle":"","family":"Sher","given":"Anna","non-dropping-particle":"","parse-names":false,"suffix":""},{"dropping-particle":"","family":"Quigley","given":"Martin F","non-dropping-particle":"","parse-names":false,"suffix":""}],"id":"ITEM-1","issued":{"date-parts":[["2013"]]},"note":"Includes bibliographical references and index.","publisher":"New York : Oxford University Press","publisher-place":"New York","title":"Tamarix : a case study of ecological change in the American West","type":"book"},"uris":["http://www.mendeley.com/documents/?uuid=a54bd73d-1a2a-4ba4-9dd4-237464cc15ef"]}],"mendeley":{"formattedCitation":"(Sher and Quigley 2013)","manualFormatting":"(2013)","plainTextFormattedCitation":"(Sher and Quigley 2013)","previouslyFormattedCitation":"(Sher and Quigley 2013)"},"properties":{"noteIndex":0},"schema":"https://github.com/citation-style-language/schema/raw/master/csl-citation.json"}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(2013)</w:t>
            </w:r>
            <w:r w:rsidR="002A3DA4">
              <w:rPr>
                <w:rFonts w:ascii="Arial" w:eastAsia="Calibri" w:hAnsi="Arial" w:cs="Arial"/>
              </w:rPr>
              <w:fldChar w:fldCharType="end"/>
            </w:r>
            <w:r w:rsidRPr="00561908">
              <w:rPr>
                <w:rFonts w:ascii="Arial" w:eastAsia="Calibri" w:hAnsi="Arial" w:cs="Arial"/>
              </w:rPr>
              <w:t xml:space="preserve"> and 38 more experts publish the first book on the biology, ecology, politics, and management of </w:t>
            </w:r>
            <w:proofErr w:type="spellStart"/>
            <w:r w:rsidRPr="00561908">
              <w:rPr>
                <w:rFonts w:ascii="Arial" w:eastAsia="Calibri" w:hAnsi="Arial" w:cs="Arial"/>
                <w:i/>
                <w:iCs/>
              </w:rPr>
              <w:t>Tamarix</w:t>
            </w:r>
            <w:proofErr w:type="spellEnd"/>
            <w:r w:rsidRPr="00561908">
              <w:rPr>
                <w:rFonts w:ascii="Arial" w:eastAsia="Calibri" w:hAnsi="Arial" w:cs="Arial"/>
              </w:rPr>
              <w:t>.</w:t>
            </w:r>
          </w:p>
        </w:tc>
      </w:tr>
      <w:tr w:rsidR="00A237F8" w:rsidRPr="00561908" w14:paraId="572DA474" w14:textId="77777777" w:rsidTr="00123B30">
        <w:trPr>
          <w:trHeight w:val="315"/>
        </w:trPr>
        <w:tc>
          <w:tcPr>
            <w:tcW w:w="1419" w:type="dxa"/>
            <w:noWrap/>
            <w:hideMark/>
          </w:tcPr>
          <w:p w14:paraId="335108F1" w14:textId="77777777" w:rsidR="00A237F8" w:rsidRPr="00561908" w:rsidRDefault="00A237F8" w:rsidP="00123B30">
            <w:pPr>
              <w:rPr>
                <w:rFonts w:ascii="Arial" w:eastAsia="Calibri" w:hAnsi="Arial" w:cs="Arial"/>
              </w:rPr>
            </w:pPr>
            <w:r w:rsidRPr="00561908">
              <w:rPr>
                <w:rFonts w:ascii="Arial" w:eastAsia="Calibri" w:hAnsi="Arial" w:cs="Arial"/>
              </w:rPr>
              <w:t>2016</w:t>
            </w:r>
          </w:p>
        </w:tc>
        <w:tc>
          <w:tcPr>
            <w:tcW w:w="7211" w:type="dxa"/>
            <w:noWrap/>
            <w:hideMark/>
          </w:tcPr>
          <w:p w14:paraId="46D0E6A8" w14:textId="071D9C29" w:rsidR="00A237F8" w:rsidRPr="00561908" w:rsidRDefault="00A237F8" w:rsidP="00123B30">
            <w:pPr>
              <w:rPr>
                <w:rFonts w:ascii="Arial" w:eastAsia="Calibri" w:hAnsi="Arial" w:cs="Arial"/>
              </w:rPr>
            </w:pPr>
            <w:r w:rsidRPr="00561908">
              <w:rPr>
                <w:rFonts w:ascii="Arial" w:eastAsia="Calibri" w:hAnsi="Arial" w:cs="Arial"/>
              </w:rPr>
              <w:t xml:space="preserve">A panel of experts convened by the Tamarisk Coalition in 2015 publishes a report </w:t>
            </w:r>
            <w:r w:rsidR="002A3DA4">
              <w:rPr>
                <w:rFonts w:ascii="Arial" w:eastAsia="Calibri" w:hAnsi="Arial" w:cs="Arial"/>
              </w:rPr>
              <w:fldChar w:fldCharType="begin" w:fldLock="1"/>
            </w:r>
            <w:r w:rsidR="002A3DA4">
              <w:rPr>
                <w:rFonts w:ascii="Arial" w:eastAsia="Calibri" w:hAnsi="Arial" w:cs="Arial"/>
              </w:rPr>
              <w:instrText>ADDIN CSL_CITATION {"citationItems":[{"id":"ITEM-1","itemData":{"author":[{"dropping-particle":"","family":"Bloodworth","given":"Benjamin R.","non-dropping-particle":"","parse-names":false,"suffix":""},{"dropping-particle":"","family":"Shafroth","given":"Patrick B.","non-dropping-particle":"","parse-names":false,"suffix":""},{"dropping-particle":"","family":"Sher","given":"Anna A.","non-dropping-particle":"","parse-names":false,"suffix":""},{"dropping-particle":"","family":"Manners","given":"Rebecca B.","non-dropping-particle":"","parse-names":false,"suffix":""},{"dropping-particle":"","family":"Bean","given":"Daniel W.","non-dropping-particle":"","parse-names":false,"suffix":""},{"dropping-particle":"","family":"Johnson","given":"Matthew J.","non-dropping-particle":"","parse-names":false,"suffix":""},{"dropping-particle":"","family":"Hinojosa-huerta","given":"Osvel","non-dropping-particle":"","parse-names":false,"suffix":""}],"id":"ITEM-1","issue":"1","issued":{"date-parts":[["2016"]]},"page":"1-20","title":"Tamarisk beetle (Diorhabda spp.) in the Colorado River basin : synthesis of an expert panel forum","type":"paper-conference"},"uris":["http://www.mendeley.com/documents/?uuid=2fd7730b-fcbb-44a4-b2ae-b5356d481145"]}],"mendeley":{"formattedCitation":"(Bloodworth et al. 2016)","plainTextFormattedCitation":"(Bloodworth et al. 2016)","previouslyFormattedCitation":"(Bloodworth et al. 2016)"},"properties":{"noteIndex":0},"schema":"https://github.com/citation-style-language/schema/raw/master/csl-citation.json"}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(Bloodworth et al. 2016)</w:t>
            </w:r>
            <w:r w:rsidR="002A3DA4">
              <w:rPr>
                <w:rFonts w:ascii="Arial" w:eastAsia="Calibri" w:hAnsi="Arial" w:cs="Arial"/>
              </w:rPr>
              <w:fldChar w:fldCharType="end"/>
            </w:r>
            <w:r w:rsidRPr="00561908">
              <w:rPr>
                <w:rFonts w:ascii="Arial" w:eastAsia="Calibri" w:hAnsi="Arial" w:cs="Arial"/>
              </w:rPr>
              <w:t xml:space="preserve"> that discusses probable ecological trajectories of </w:t>
            </w:r>
            <w:proofErr w:type="spellStart"/>
            <w:r w:rsidRPr="00561908">
              <w:rPr>
                <w:rFonts w:ascii="Arial" w:eastAsia="Calibri" w:hAnsi="Arial" w:cs="Arial"/>
                <w:i/>
                <w:iCs/>
              </w:rPr>
              <w:t>Tamarix</w:t>
            </w:r>
            <w:proofErr w:type="spellEnd"/>
            <w:r w:rsidRPr="00561908">
              <w:rPr>
                <w:rFonts w:ascii="Arial" w:eastAsia="Calibri" w:hAnsi="Arial" w:cs="Arial"/>
              </w:rPr>
              <w:t>-dominated systems in the presence of the biocontrol beetle and proposes a decision tree to guide restoration strategies.</w:t>
            </w:r>
          </w:p>
        </w:tc>
      </w:tr>
      <w:tr w:rsidR="00A237F8" w:rsidRPr="00561908" w14:paraId="7C2D8621" w14:textId="77777777" w:rsidTr="00123B30">
        <w:trPr>
          <w:trHeight w:val="315"/>
        </w:trPr>
        <w:tc>
          <w:tcPr>
            <w:tcW w:w="1419" w:type="dxa"/>
            <w:noWrap/>
            <w:hideMark/>
          </w:tcPr>
          <w:p w14:paraId="0D0AE5CA" w14:textId="77777777" w:rsidR="00A237F8" w:rsidRPr="00561908" w:rsidRDefault="00A237F8" w:rsidP="00123B30">
            <w:pPr>
              <w:rPr>
                <w:rFonts w:ascii="Arial" w:eastAsia="Calibri" w:hAnsi="Arial" w:cs="Arial"/>
              </w:rPr>
            </w:pPr>
            <w:r w:rsidRPr="00561908">
              <w:rPr>
                <w:rFonts w:ascii="Arial" w:eastAsia="Calibri" w:hAnsi="Arial" w:cs="Arial"/>
              </w:rPr>
              <w:t>2017</w:t>
            </w:r>
          </w:p>
        </w:tc>
        <w:tc>
          <w:tcPr>
            <w:tcW w:w="7211" w:type="dxa"/>
            <w:noWrap/>
            <w:hideMark/>
          </w:tcPr>
          <w:p w14:paraId="761E1C38" w14:textId="425675F1" w:rsidR="00A237F8" w:rsidRPr="00561908" w:rsidRDefault="00A237F8" w:rsidP="00123B30">
            <w:pPr>
              <w:rPr>
                <w:rFonts w:ascii="Arial" w:eastAsia="Calibri" w:hAnsi="Arial" w:cs="Arial"/>
              </w:rPr>
            </w:pPr>
            <w:r w:rsidRPr="00561908">
              <w:rPr>
                <w:rFonts w:ascii="Arial" w:eastAsia="Calibri" w:hAnsi="Arial" w:cs="Arial"/>
              </w:rPr>
              <w:t xml:space="preserve">In a collaborative effort of 16 research institutions, González et al. </w:t>
            </w:r>
            <w:r w:rsidRPr="00561908">
              <w:rPr>
                <w:rFonts w:ascii="Arial" w:eastAsia="Calibri" w:hAnsi="Arial" w:cs="Arial"/>
              </w:rPr>
              <w:fldChar w:fldCharType="begin" w:fldLock="1"/>
            </w:r>
            <w:r>
              <w:rPr>
                <w:rFonts w:ascii="Arial" w:eastAsia="Calibri" w:hAnsi="Arial" w:cs="Arial"/>
              </w:rPr>
              <w:instrText>ADDIN CSL_CITATION {"citationItems":[{"id":"ITEM-1","itemData":{"DOI":"10.1002/eap.1566","ISBN":"4955139574","ISSN":"10510761","PMID":"28199780","abstract":"Most studies assessing vegetation response following control of invasive Tamarix trees along southwestern U.S. rivers have been small in scale (e.g., river reach), or at a regional scale but with poor spatial-temporal replication, and most have not included testing the effects of a now widely used biological control. We monitored plant composition following Tamarix control along hydrologic, soil, and climatic gradients in 244 treated and 172 reference sites across six U.S. states. This represents the largest comprehensive assessment to date on the vege-tation response to the four most common Tamarix control treatments. Biocontrol by a defoliat-ing beetle (treatment 1) reduced the abundance of Tamarix less than active removal by mechanically using hand and chain-saws (2), heavy machinery (3) or burning (4). Tamarix abundance also decreased with lower temperatures, higher precipitation, and follow-up treat-ments for Tamarix resprouting. Native cover generally increased over time in active Tamarix removal sites, however, the increases observed were small and was not consistently increased by active revegetation. Overall, native cover was correlated to permanent stream flow, lower graz-ing pressure, lower soil salinity and temperatures, and higher precipitation. Species diversity also increased where Tamarix was removed. However, Tamarix treatments, especially those generating the highest disturbance (burning and heavy machinery), also often promoted secondary invasions of exotic forbs. The abundance of hydrophytic species was much lower in treated than in reference sites, suggesting that management of southwestern U.S. rivers has focused too much on weed control, overlooking restoration of fluvial processes that provide habitat for hydrophytic and floodplain vegetation. These results can help inform future man-agement of Tamarix-infested rivers to restore hydrogeomorphic processes, increase native biodiversity and reduce abundance of noxious species.","author":[{"dropping-particle":"","family":"González","given":"Eduardo","non-dropping-particle":"","parse-names":false,"suffix":""},{"dropping-particle":"","family":"Sher","given":"Anna A.","non-dropping-particle":"","parse-names":false,"suffix":""},{"dropping-particle":"","family":"Anderson","given":"Robert M.","non-dropping-particle":"","parse-names":false,"suffix":""},{"dropping-particle":"","family":"Bay","given":"Robin F.","non-dropping-particle":"","parse-names":false,"suffix":""},{"dropping-particle":"","family":"Bean","given":"Daniel W.","non-dropping-particle":"","parse-names":false,"suffix":""},{"dropping-particle":"","family":"Bissonnete","given":"Gabriel J.","non-dropping-particle":"","parse-names":false,"suffix":""},{"dropping-particle":"","family":"Bourgeois","given":"Bérenger","non-dropping-particle":"","parse-names":false,"suffix":""},{"dropping-particle":"","family":"Cooper","given":"David J.","non-dropping-particle":"","parse-names":false,"suffix":""},{"dropping-particle":"","family":"Dohrenwend","given":"Kara","non-dropping-particle":"","parse-names":false,"suffix":""},{"dropping-particle":"","family":"Eichhorst","given":"Kim D.","non-dropping-particle":"","parse-names":false,"suffix":""},{"dropping-particle":"","family":"Waer","given":"Hisham","non-dropping-particle":"El","parse-names":false,"suffix":""},{"dropping-particle":"","family":"Kennard","given":"Deborah K.","non-dropping-particle":"","parse-names":false,"suffix":""},{"dropping-particle":"","family":"Harms-Weissinger","given":"Rebecca","non-dropping-particle":"","parse-names":false,"suffix":""},{"dropping-particle":"","family":"Henry","given":"Annie L.","non-dropping-particle":"","parse-names":false,"suffix":""},{"dropping-particle":"","family":"Makarick","given":"Lori J.","non-dropping-particle":"","parse-names":false,"suffix":""},{"dropping-particle":"","family":"Ostoja","given":"Steven M.","non-dropping-particle":"","parse-names":false,"suffix":""},{"dropping-particle":"V.","family":"Reynolds","given":"Lindsay","non-dropping-particle":"","parse-names":false,"suffix":""},{"dropping-particle":"","family":"Robinson","given":"W. Wright","non-dropping-particle":"","parse-names":false,"suffix":""},{"dropping-particle":"","family":"Shafroth","given":"Patrick B.","non-dropping-particle":"","parse-names":false,"suffix":""}],"container-title":"Ecological Applications","id":"ITEM-1","issue":"6","issued":{"date-parts":[["2017","9"]]},"page":"1789-1804","title":"Vegetation response to invasive Tamarix control in southwestern U.S. rivers: a collaborative study including 416 sites","type":"article-journal","volume":"27"},"uris":["http://www.mendeley.com/documents/?uuid=a8f570a7-31b9-4c9c-b874-136df114ca75"]}],"mendeley":{"formattedCitation":"(González et al. 2017)","manualFormatting":"(2017b)","plainTextFormattedCitation":"(González et al. 2017)","previouslyFormattedCitation":"(González et al. 2017)"},"properties":{"noteIndex":0},"schema":"https://github.com/citation-style-language/schema/raw/master/csl-citation.json"}</w:instrText>
            </w:r>
            <w:r w:rsidRPr="00561908">
              <w:rPr>
                <w:rFonts w:ascii="Arial" w:eastAsia="Calibri" w:hAnsi="Arial" w:cs="Arial"/>
              </w:rPr>
              <w:fldChar w:fldCharType="separate"/>
            </w:r>
            <w:r w:rsidRPr="00561908">
              <w:rPr>
                <w:rFonts w:ascii="Arial" w:eastAsia="Calibri" w:hAnsi="Arial" w:cs="Arial"/>
                <w:noProof/>
              </w:rPr>
              <w:t>(2017b)</w:t>
            </w:r>
            <w:r w:rsidRPr="00561908">
              <w:rPr>
                <w:rFonts w:ascii="Arial" w:eastAsia="Calibri" w:hAnsi="Arial" w:cs="Arial"/>
              </w:rPr>
              <w:fldChar w:fldCharType="end"/>
            </w:r>
            <w:r w:rsidRPr="00561908">
              <w:rPr>
                <w:rFonts w:ascii="Arial" w:eastAsia="Calibri" w:hAnsi="Arial" w:cs="Arial"/>
              </w:rPr>
              <w:t xml:space="preserve"> compile the largest database of published and unpublished information on plant community responses to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(biocontrol and active treatment) and associated environmental and management data and make it available in a public data repository (Dryad). In the first of several papers synthesizing these results, González et al. </w:t>
            </w:r>
            <w:r w:rsidRPr="00561908">
              <w:rPr>
                <w:rFonts w:ascii="Arial" w:eastAsia="Calibri" w:hAnsi="Arial" w:cs="Arial"/>
              </w:rPr>
              <w:fldChar w:fldCharType="begin" w:fldLock="1"/>
            </w:r>
            <w:r>
              <w:rPr>
                <w:rFonts w:ascii="Arial" w:eastAsia="Calibri" w:hAnsi="Arial" w:cs="Arial"/>
              </w:rPr>
              <w:instrText>ADDIN CSL_CITATION {"citationItems":[{"id":"ITEM-1","itemData":{"DOI":"10.1002/eap.1566","ISBN":"4955139574","ISSN":"10510761","PMID":"28199780","abstract":"Most studies assessing vegetation response following control of invasive Tamarix trees along southwestern U.S. rivers have been small in scale (e.g., river reach), or at a regional scale but with poor spatial-temporal replication, and most have not included testing the effects of a now widely used biological control. We monitored plant composition following Tamarix control along hydrologic, soil, and climatic gradients in 244 treated and 172 reference sites across six U.S. states. This represents the largest comprehensive assessment to date on the vege-tation response to the four most common Tamarix control treatments. Biocontrol by a defoliat-ing beetle (treatment 1) reduced the abundance of Tamarix less than active removal by mechanically using hand and chain-saws (2), heavy machinery (3) or burning (4). Tamarix abundance also decreased with lower temperatures, higher precipitation, and follow-up treat-ments for Tamarix resprouting. Native cover generally increased over time in active Tamarix removal sites, however, the increases observed were small and was not consistently increased by active revegetation. Overall, native cover was correlated to permanent stream flow, lower graz-ing pressure, lower soil salinity and temperatures, and higher precipitation. Species diversity also increased where Tamarix was removed. However, Tamarix treatments, especially those generating the highest disturbance (burning and heavy machinery), also often promoted secondary invasions of exotic forbs. The abundance of hydrophytic species was much lower in treated than in reference sites, suggesting that management of southwestern U.S. rivers has focused too much on weed control, overlooking restoration of fluvial processes that provide habitat for hydrophytic and floodplain vegetation. These results can help inform future man-agement of Tamarix-infested rivers to restore hydrogeomorphic processes, increase native biodiversity and reduce abundance of noxious species.","author":[{"dropping-particle":"","family":"González","given":"Eduardo","non-dropping-particle":"","parse-names":false,"suffix":""},{"dropping-particle":"","family":"Sher","given":"Anna A.","non-dropping-particle":"","parse-names":false,"suffix":""},{"dropping-particle":"","family":"Anderson","given":"Robert M.","non-dropping-particle":"","parse-names":false,"suffix":""},{"dropping-particle":"","family":"Bay","given":"Robin F.","non-dropping-particle":"","parse-names":false,"suffix":""},{"dropping-particle":"","family":"Bean","given":"Daniel W.","non-dropping-particle":"","parse-names":false,"suffix":""},{"dropping-particle":"","family":"Bissonnete","given":"Gabriel J.","non-dropping-particle":"","parse-names":false,"suffix":""},{"dropping-particle":"","family":"Bourgeois","given":"Bérenger","non-dropping-particle":"","parse-names":false,"suffix":""},{"dropping-particle":"","family":"Cooper","given":"David J.","non-dropping-particle":"","parse-names":false,"suffix":""},{"dropping-particle":"","family":"Dohrenwend","given":"Kara","non-dropping-particle":"","parse-names":false,"suffix":""},{"dropping-particle":"","family":"Eichhorst","given":"Kim D.","non-dropping-particle":"","parse-names":false,"suffix":""},{"dropping-particle":"","family":"Waer","given":"Hisham","non-dropping-particle":"El","parse-names":false,"suffix":""},{"dropping-particle":"","family":"Kennard","given":"Deborah K.","non-dropping-particle":"","parse-names":false,"suffix":""},{"dropping-particle":"","family":"Harms-Weissinger","given":"Rebecca","non-dropping-particle":"","parse-names":false,"suffix":""},{"dropping-particle":"","family":"Henry","given":"Annie L.","non-dropping-particle":"","parse-names":false,"suffix":""},{"dropping-particle":"","family":"Makarick","given":"Lori J.","non-dropping-particle":"","parse-names":false,"suffix":""},{"dropping-particle":"","family":"Ostoja","given":"Steven M.","non-dropping-particle":"","parse-names":false,"suffix":""},{"dropping-particle":"V.","family":"Reynolds","given":"Lindsay","non-dropping-particle":"","parse-names":false,"suffix":""},{"dropping-particle":"","family":"Robinson","given":"W. Wright","non-dropping-particle":"","parse-names":false,"suffix":""},{"dropping-particle":"","family":"Shafroth","given":"Patrick B.","non-dropping-particle":"","parse-names":false,"suffix":""}],"container-title":"Ecological Applications","id":"ITEM-1","issue":"6","issued":{"date-parts":[["2017","9"]]},"page":"1789-1804","title":"Vegetation response to invasive Tamarix control in southwestern U.S. rivers: a collaborative study including 416 sites","type":"article-journal","volume":"27"},"uris":["http://www.mendeley.com/documents/?uuid=a8f570a7-31b9-4c9c-b874-136df114ca75"]}],"mendeley":{"formattedCitation":"(González et al. 2017)","manualFormatting":"(2017b)","plainTextFormattedCitation":"(González et al. 2017)","previouslyFormattedCitation":"(González et al. 2017)"},"properties":{"noteIndex":0},"schema":"https://github.com/citation-style-language/schema/raw/master/csl-citation.json"}</w:instrText>
            </w:r>
            <w:r w:rsidRPr="00561908">
              <w:rPr>
                <w:rFonts w:ascii="Arial" w:eastAsia="Calibri" w:hAnsi="Arial" w:cs="Arial"/>
              </w:rPr>
              <w:fldChar w:fldCharType="separate"/>
            </w:r>
            <w:r w:rsidRPr="00561908">
              <w:rPr>
                <w:rFonts w:ascii="Arial" w:eastAsia="Calibri" w:hAnsi="Arial" w:cs="Arial"/>
                <w:noProof/>
              </w:rPr>
              <w:t>(2017b)</w:t>
            </w:r>
            <w:r w:rsidRPr="00561908">
              <w:rPr>
                <w:rFonts w:ascii="Arial" w:eastAsia="Calibri" w:hAnsi="Arial" w:cs="Arial"/>
              </w:rPr>
              <w:fldChar w:fldCharType="end"/>
            </w:r>
            <w:r w:rsidRPr="00561908">
              <w:rPr>
                <w:rFonts w:ascii="Arial" w:eastAsia="Calibri" w:hAnsi="Arial" w:cs="Arial"/>
              </w:rPr>
              <w:t xml:space="preserve"> found that native plants significantly increased after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but few control projects had been monitored long enough to show recovery to pre-invasion levels.</w:t>
            </w:r>
          </w:p>
        </w:tc>
      </w:tr>
      <w:tr w:rsidR="00A237F8" w:rsidRPr="00561908" w14:paraId="44F5C218" w14:textId="77777777" w:rsidTr="00123B30">
        <w:trPr>
          <w:trHeight w:val="315"/>
        </w:trPr>
        <w:tc>
          <w:tcPr>
            <w:tcW w:w="1419" w:type="dxa"/>
            <w:shd w:val="clear" w:color="auto" w:fill="D9D9D9" w:themeFill="background1" w:themeFillShade="D9"/>
            <w:noWrap/>
            <w:hideMark/>
          </w:tcPr>
          <w:p w14:paraId="797F8E81" w14:textId="77777777" w:rsidR="00A237F8" w:rsidRPr="00561908" w:rsidRDefault="00A237F8" w:rsidP="00123B30">
            <w:pPr>
              <w:rPr>
                <w:rFonts w:ascii="Arial" w:eastAsia="Calibri" w:hAnsi="Arial" w:cs="Arial"/>
              </w:rPr>
            </w:pPr>
            <w:r w:rsidRPr="00561908">
              <w:rPr>
                <w:rFonts w:ascii="Arial" w:eastAsia="Calibri" w:hAnsi="Arial" w:cs="Arial"/>
              </w:rPr>
              <w:t>2017</w:t>
            </w:r>
          </w:p>
        </w:tc>
        <w:tc>
          <w:tcPr>
            <w:tcW w:w="7211" w:type="dxa"/>
            <w:shd w:val="clear" w:color="auto" w:fill="D9D9D9" w:themeFill="background1" w:themeFillShade="D9"/>
            <w:noWrap/>
            <w:hideMark/>
          </w:tcPr>
          <w:p w14:paraId="2D8AE812" w14:textId="77777777" w:rsidR="00A237F8" w:rsidRPr="00561908" w:rsidRDefault="00A237F8" w:rsidP="00123B30">
            <w:pPr>
              <w:rPr>
                <w:rFonts w:ascii="Arial" w:eastAsia="Calibri" w:hAnsi="Arial" w:cs="Arial"/>
              </w:rPr>
            </w:pPr>
            <w:r w:rsidRPr="00561908">
              <w:rPr>
                <w:rFonts w:ascii="Arial" w:eastAsia="Calibri" w:hAnsi="Arial" w:cs="Arial"/>
              </w:rPr>
              <w:t>The United States District Court, District of Nevada (US District Court 2017) determines that the abrupt termination of the biocontrol program violated the Endangered Species Act (ESA) 7(a)(1) and urges the USDA-APHIS to take action to mitigate the possible loss of southwestern willow flycatcher.</w:t>
            </w:r>
          </w:p>
        </w:tc>
      </w:tr>
      <w:tr w:rsidR="00A237F8" w:rsidRPr="00561908" w14:paraId="301CB805" w14:textId="77777777" w:rsidTr="00123B30">
        <w:trPr>
          <w:trHeight w:val="315"/>
        </w:trPr>
        <w:tc>
          <w:tcPr>
            <w:tcW w:w="1419" w:type="dxa"/>
            <w:shd w:val="clear" w:color="auto" w:fill="D9D9D9" w:themeFill="background1" w:themeFillShade="D9"/>
            <w:noWrap/>
            <w:hideMark/>
          </w:tcPr>
          <w:p w14:paraId="2323FE78" w14:textId="77777777" w:rsidR="00A237F8" w:rsidRPr="00561908" w:rsidRDefault="00A237F8" w:rsidP="00123B30">
            <w:pPr>
              <w:rPr>
                <w:rFonts w:ascii="Arial" w:eastAsia="Calibri" w:hAnsi="Arial" w:cs="Arial"/>
              </w:rPr>
            </w:pPr>
            <w:r w:rsidRPr="00561908">
              <w:rPr>
                <w:rFonts w:ascii="Arial" w:eastAsia="Calibri" w:hAnsi="Arial" w:cs="Arial"/>
              </w:rPr>
              <w:lastRenderedPageBreak/>
              <w:t>2018</w:t>
            </w:r>
          </w:p>
        </w:tc>
        <w:tc>
          <w:tcPr>
            <w:tcW w:w="7211" w:type="dxa"/>
            <w:shd w:val="clear" w:color="auto" w:fill="D9D9D9" w:themeFill="background1" w:themeFillShade="D9"/>
            <w:noWrap/>
            <w:hideMark/>
          </w:tcPr>
          <w:p w14:paraId="36E5FCB7" w14:textId="77777777" w:rsidR="00A237F8" w:rsidRPr="00561908" w:rsidRDefault="00A237F8" w:rsidP="00123B30">
            <w:pPr>
              <w:rPr>
                <w:rFonts w:ascii="Arial" w:eastAsia="Calibri" w:hAnsi="Arial" w:cs="Arial"/>
              </w:rPr>
            </w:pPr>
            <w:r w:rsidRPr="00561908">
              <w:rPr>
                <w:rFonts w:ascii="Arial" w:eastAsia="Calibri" w:hAnsi="Arial" w:cs="Arial"/>
              </w:rPr>
              <w:t xml:space="preserve">The Tamarisk Coalition changes its name to </w:t>
            </w:r>
            <w:proofErr w:type="spellStart"/>
            <w:r w:rsidRPr="00561908">
              <w:rPr>
                <w:rFonts w:ascii="Arial" w:eastAsia="Calibri" w:hAnsi="Arial" w:cs="Arial"/>
              </w:rPr>
              <w:t>RiversEdge</w:t>
            </w:r>
            <w:proofErr w:type="spellEnd"/>
            <w:r w:rsidRPr="00561908">
              <w:rPr>
                <w:rFonts w:ascii="Arial" w:eastAsia="Calibri" w:hAnsi="Arial" w:cs="Arial"/>
              </w:rPr>
              <w:t xml:space="preserve"> West to reflect a strategic change from strict invasive species control to integrative riparian habitat restoration.</w:t>
            </w:r>
          </w:p>
        </w:tc>
      </w:tr>
      <w:tr w:rsidR="00A237F8" w:rsidRPr="00561908" w14:paraId="77017007" w14:textId="77777777" w:rsidTr="00123B30">
        <w:trPr>
          <w:trHeight w:val="315"/>
        </w:trPr>
        <w:tc>
          <w:tcPr>
            <w:tcW w:w="1419" w:type="dxa"/>
            <w:noWrap/>
          </w:tcPr>
          <w:p w14:paraId="58CC72DA" w14:textId="77777777" w:rsidR="00A237F8" w:rsidRPr="00561908" w:rsidRDefault="00A237F8" w:rsidP="00123B30">
            <w:pPr>
              <w:rPr>
                <w:rFonts w:ascii="Arial" w:eastAsia="Calibri" w:hAnsi="Arial" w:cs="Arial"/>
              </w:rPr>
            </w:pPr>
            <w:r w:rsidRPr="00561908">
              <w:rPr>
                <w:rFonts w:ascii="Arial" w:eastAsia="Calibri" w:hAnsi="Arial" w:cs="Arial"/>
              </w:rPr>
              <w:t>2018</w:t>
            </w:r>
          </w:p>
        </w:tc>
        <w:tc>
          <w:tcPr>
            <w:tcW w:w="7211" w:type="dxa"/>
            <w:noWrap/>
          </w:tcPr>
          <w:p w14:paraId="365F09A3" w14:textId="04125AFE" w:rsidR="00A237F8" w:rsidRPr="00561908" w:rsidRDefault="00A237F8" w:rsidP="00123B30">
            <w:pPr>
              <w:rPr>
                <w:rFonts w:ascii="Arial" w:eastAsia="Calibri" w:hAnsi="Arial" w:cs="Arial"/>
              </w:rPr>
            </w:pPr>
            <w:r w:rsidRPr="00561908">
              <w:rPr>
                <w:rFonts w:ascii="Arial" w:eastAsia="Calibri" w:hAnsi="Arial" w:cs="Arial"/>
              </w:rPr>
              <w:t xml:space="preserve">In a five-year study of 40 sites along the Dolores River, Sher et al. </w:t>
            </w:r>
            <w:r w:rsidR="002A3DA4">
              <w:rPr>
                <w:rFonts w:ascii="Arial" w:eastAsia="Calibri" w:hAnsi="Arial" w:cs="Arial"/>
              </w:rPr>
              <w:fldChar w:fldCharType="begin" w:fldLock="1"/>
            </w:r>
            <w:r w:rsidR="002A3DA4">
              <w:rPr>
                <w:rFonts w:ascii="Arial" w:eastAsia="Calibri" w:hAnsi="Arial" w:cs="Arial"/>
              </w:rPr>
              <w:instrText>ADDIN CSL_CITATION {"citationItems":[{"id":"ITEM-1","itemData":{"DOI":"10.1016/j.ecoleng.2017.11.018","ISSN":"09258574","abstract":"Removal of invasive species is often an important, if not central, component of many riparian restoration projects, however little is known about the response of plant communities following this practice. In particular, active control of the exotic, dominant tree Tamarix spp is often a focus of riparian restoration, much of which occurring against a backdrop of biological control by a folivore beetle. Our research employed controls in both time and space to investigate the impact of active Tamarix removal methods in sites subjected to biological control in 40 sites sampled three times over a period of five years. We found that reduction in Tamarix cover was much greater over time with active means of removal, however the native understory increased both with and without active removal. Importantly, change in the relative cover of understory native species was significantly negatively correlated with change in Tamarix cover, with those sites that received a combination of low-disturbance-mechanical, chemical and bio-control showing greater increases in native understory dominance than those sites with biological control alone or high-disturbance mechanical control. Sites with only bio­control still contained 10% live Tamarix cover &gt;7 yr since the beetle was released there. Taken together, these results suggest that the reduction of this exotic tree, even by biological control that leaves some canopy intact, can facilitate recovery of the native plant community. As such, this study supports the Field of Dreams hypothesis that states that once niches are restored, native plants should be able to recolonize. [ABSTRACT FROM AUTHOR]","author":[{"dropping-particle":"","family":"Sher","given":"Anna A.","non-dropping-particle":"","parse-names":false,"suffix":""},{"dropping-particle":"","family":"Waer","given":"Hisham","non-dropping-particle":"El","parse-names":false,"suffix":""},{"dropping-particle":"","family":"González","given":"Eduardo","non-dropping-particle":"","parse-names":false,"suffix":""},{"dropping-particle":"","family":"Anderson","given":"Robert","non-dropping-particle":"","parse-names":false,"suffix":""},{"dropping-particle":"","family":"Henry","given":"Annie L.","non-dropping-particle":"","parse-names":false,"suffix":""},{"dropping-particle":"","family":"Biedron","given":"Robert","non-dropping-particle":"","parse-names":false,"suffix":""},{"dropping-particle":"","family":"Yue","given":"PengPeng Peng","non-dropping-particle":"","parse-names":false,"suffix":""}],"container-title":"Ecological Engineering","id":"ITEM-1","issued":{"date-parts":[["2018","2","1"]]},"note":"From Duplicate 1 (Native species recovery after reduction of an invasive tree by biological control with and without active removal. - Sher, Anna A; El Waer, Hisham; González, Eduardo; Anderson, Robert; Henry, Annie L; Biedron, Robert; Yue, PengPeng)\n\nAccession Number: 127075427; Sher, Anna A. 1; Email Address: anna.sher@du.edu El Waer, Hisham 1 González, Eduardo 1,2 Anderson, Robert 1 Henry, Annie L. 1 Biedron, Robert 1 Yue, PengPeng 1; Affiliation: 1: University of Denver, Department of Biological Sciences, Denver, CO USA 2: Colorado State University, Department of Biology, Fort Collins, CO USA; Source Info: Feb2018, Vol. 111, p167; Subject Term: ENDEMIC plants; Subject Term: INVASIVE plants; Subject Term: PLANT species; Subject Term: RIPARIAN restoration; Subject Term: BIOLOGICAL control systems; Author-Supplied Keyword: BACI design; Author-Supplied Keyword: Biological control; Author-Supplied Keyword: Diorhabda; Author-Supplied Keyword: Disturbance ecology; Author-Supplied Keyword: Ecological restoration; Author-Supplied Keyword: Field of dreams hypothesis; Author-Supplied Keyword: Integrated pest management; Author-Supplied Keyword: Invasive tree removal; Author-Supplied Keyword: Plant community response; Author-Supplied Keyword: RDA multivariate analysis; Author-Supplied Keyword: Riparian restoration; Author-Supplied Keyword: Tamarix; Number of Pages: 9p; Document Type: Article\n\nFrom Duplicate 2 (Native species recovery after reduction of an invasive tree by biological control with and without active removal - Sher, Anna A.; El Waer, Hisham; González, Eduardo; Anderson, Robert; Henry, Annie L.; Biedron, Robert; Yue, Peng Peng)\n\nTam removal promotes growth of natives","page":"167-175","publisher":"Elsevier","title":"Native species recovery after reduction of an invasive tree by biological control with and without active removal.","type":"article-journal","volume":"111"},"uris":["http://www.mendeley.com/documents/?uuid=c4787fca-b245-41f9-aa93-5048324d4101"]}],"mendeley":{"formattedCitation":"(Sher et al. 2018)","manualFormatting":"(2018)","plainTextFormattedCitation":"(Sher et al. 2018)","previouslyFormattedCitation":"(Sher et al. 2018)"},"properties":{"noteIndex":0},"schema":"https://github.com/citation-style-language/schema/raw/master/csl-citation.json"}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(2018)</w:t>
            </w:r>
            <w:r w:rsidR="002A3DA4">
              <w:rPr>
                <w:rFonts w:ascii="Arial" w:eastAsia="Calibri" w:hAnsi="Arial" w:cs="Arial"/>
              </w:rPr>
              <w:fldChar w:fldCharType="end"/>
            </w:r>
            <w:r w:rsidR="002A3DA4">
              <w:rPr>
                <w:rFonts w:ascii="Arial" w:eastAsia="Calibri" w:hAnsi="Arial" w:cs="Arial"/>
              </w:rPr>
              <w:t xml:space="preserve"> </w:t>
            </w:r>
            <w:r w:rsidRPr="00561908">
              <w:rPr>
                <w:rFonts w:ascii="Arial" w:eastAsia="Calibri" w:hAnsi="Arial" w:cs="Arial"/>
              </w:rPr>
              <w:t xml:space="preserve">document a significant positive relationship between reduction in </w:t>
            </w:r>
            <w:proofErr w:type="spellStart"/>
            <w:r w:rsidRPr="00561908">
              <w:rPr>
                <w:rFonts w:ascii="Arial" w:eastAsia="Calibri" w:hAnsi="Arial" w:cs="Arial"/>
                <w:i/>
                <w:iCs/>
              </w:rPr>
              <w:t>Tamarix</w:t>
            </w:r>
            <w:proofErr w:type="spellEnd"/>
            <w:r w:rsidRPr="00561908">
              <w:rPr>
                <w:rFonts w:ascii="Arial" w:eastAsia="Calibri" w:hAnsi="Arial" w:cs="Arial"/>
              </w:rPr>
              <w:t xml:space="preserve"> cover and increase in understory native species dominance. It is the first time that </w:t>
            </w:r>
            <w:proofErr w:type="gramStart"/>
            <w:r w:rsidRPr="00561908">
              <w:rPr>
                <w:rFonts w:ascii="Arial" w:eastAsia="Calibri" w:hAnsi="Arial" w:cs="Arial"/>
              </w:rPr>
              <w:t>change</w:t>
            </w:r>
            <w:proofErr w:type="gramEnd"/>
            <w:r w:rsidRPr="00561908">
              <w:rPr>
                <w:rFonts w:ascii="Arial" w:eastAsia="Calibri" w:hAnsi="Arial" w:cs="Arial"/>
              </w:rPr>
              <w:t xml:space="preserve"> in </w:t>
            </w:r>
            <w:proofErr w:type="spellStart"/>
            <w:r w:rsidRPr="00561908">
              <w:rPr>
                <w:rFonts w:ascii="Arial" w:eastAsia="Calibri" w:hAnsi="Arial" w:cs="Arial"/>
                <w:i/>
                <w:iCs/>
              </w:rPr>
              <w:t>Tamarix</w:t>
            </w:r>
            <w:proofErr w:type="spellEnd"/>
            <w:r w:rsidRPr="00561908">
              <w:rPr>
                <w:rFonts w:ascii="Arial" w:eastAsia="Calibri" w:hAnsi="Arial" w:cs="Arial"/>
              </w:rPr>
              <w:t xml:space="preserve"> cover has been analyzed as a predictor of native community response. </w:t>
            </w:r>
          </w:p>
        </w:tc>
      </w:tr>
      <w:tr w:rsidR="00A237F8" w:rsidRPr="00561908" w14:paraId="24ACBC0A" w14:textId="77777777" w:rsidTr="00123B30">
        <w:trPr>
          <w:trHeight w:val="315"/>
        </w:trPr>
        <w:tc>
          <w:tcPr>
            <w:tcW w:w="1419" w:type="dxa"/>
            <w:noWrap/>
          </w:tcPr>
          <w:p w14:paraId="0D33B721" w14:textId="77777777" w:rsidR="00A237F8" w:rsidRPr="00561908" w:rsidRDefault="00A237F8" w:rsidP="00123B30">
            <w:pPr>
              <w:rPr>
                <w:rFonts w:ascii="Arial" w:eastAsia="Calibri" w:hAnsi="Arial" w:cs="Arial"/>
              </w:rPr>
            </w:pPr>
            <w:r w:rsidRPr="00561908">
              <w:rPr>
                <w:rFonts w:ascii="Arial" w:eastAsia="Calibri" w:hAnsi="Arial" w:cs="Arial"/>
              </w:rPr>
              <w:t>2018</w:t>
            </w:r>
          </w:p>
        </w:tc>
        <w:tc>
          <w:tcPr>
            <w:tcW w:w="7211" w:type="dxa"/>
            <w:noWrap/>
          </w:tcPr>
          <w:p w14:paraId="140526C3" w14:textId="27CB4067" w:rsidR="00A237F8" w:rsidRPr="00561908" w:rsidRDefault="00A237F8" w:rsidP="00123B30">
            <w:pPr>
              <w:rPr>
                <w:rFonts w:ascii="Arial" w:eastAsia="Calibri" w:hAnsi="Arial" w:cs="Arial"/>
              </w:rPr>
            </w:pPr>
            <w:r w:rsidRPr="00561908">
              <w:rPr>
                <w:rFonts w:ascii="Arial" w:eastAsia="Calibri" w:hAnsi="Arial" w:cs="Arial"/>
              </w:rPr>
              <w:t xml:space="preserve">Nagler et al. </w:t>
            </w:r>
            <w:r w:rsidR="002A3DA4">
              <w:rPr>
                <w:rFonts w:ascii="Arial" w:eastAsia="Calibri" w:hAnsi="Arial" w:cs="Arial"/>
              </w:rPr>
              <w:fldChar w:fldCharType="begin" w:fldLock="1"/>
            </w:r>
            <w:r w:rsidR="002A3DA4">
              <w:rPr>
                <w:rFonts w:ascii="Arial" w:eastAsia="Calibri" w:hAnsi="Arial" w:cs="Arial"/>
              </w:rPr>
              <w:instrText>ADDIN CSL_CITATION {"citationItems":[{"id":"ITEM-1","itemData":{"DOI":"http://dx.doi.org/10.1111/rec.12575","ISSN":"10612971","abstract":"Northern tamarisk beetles (Diorhabda carinulata) were released in the Upper Colorado River Basin in the United States in 2004–2007 to defoliate introduced tamarisk shrubs (Tamarix spp.) in the region's riparian zones. The primary purpose was to control the invasive shrub and reduce evapotranspiration (ET) by tamarisk in an attempt to increase stream flows. We evaluated beetle–tamarisk interactions with MODIS and Landsat imagery on 13 river systems, with vegetation indices used as indicators of the extent of defoliation and ET. Beetles are widespread and exhibit a pattern of colonize–defoliate–emigrate, so that riparian zones contain a mosaic of completely defoliated, partially defoliated, and refoliated tamarisk stands. Based on satellite data and ET algorithms, mean ET before beetle release (2000–2006) was 416 mm/year compared to postrelease (2007–2015) ET of 355 mm/year (p &lt; 0.05) for a net reduction of 61 mm/year. This is lower than initial literature projections that ET would be reduced by 300–460 mm/year. Reasons for the lower</w:instrText>
            </w:r>
            <w:r w:rsidR="002A3DA4">
              <w:rPr>
                <w:rFonts w:ascii="Cambria Math" w:eastAsia="Calibri" w:hAnsi="Cambria Math" w:cs="Cambria Math"/>
              </w:rPr>
              <w:instrText>‐</w:instrText>
            </w:r>
            <w:r w:rsidR="002A3DA4">
              <w:rPr>
                <w:rFonts w:ascii="Arial" w:eastAsia="Calibri" w:hAnsi="Arial" w:cs="Arial"/>
              </w:rPr>
              <w:instrText>than</w:instrText>
            </w:r>
            <w:r w:rsidR="002A3DA4">
              <w:rPr>
                <w:rFonts w:ascii="Cambria Math" w:eastAsia="Calibri" w:hAnsi="Cambria Math" w:cs="Cambria Math"/>
              </w:rPr>
              <w:instrText>‐</w:instrText>
            </w:r>
            <w:r w:rsidR="002A3DA4">
              <w:rPr>
                <w:rFonts w:ascii="Arial" w:eastAsia="Calibri" w:hAnsi="Arial" w:cs="Arial"/>
              </w:rPr>
              <w:instrText>expected ET reductions are because baseline ET rates are lower than initially projected, and percentage ET reduction is low because tamarisk stands tend to regrow new leaves after defoliation and other plants help maintain canopy cover. Overall reductions in tamarisk green foliage during the study are 21%. However, ET in the Upper Basin has shown a steady decline since 2007 and equilibrium has not yet been reached. Defoliation is now proceeding from the Upper Basin into the Lower Basin at a rate of 40 km/year, much faster than initially projected.","author":[{"dropping-particle":"","family":"Nagler","given":"Pamela L","non-dropping-particle":"","parse-names":false,"suffix":""},{"dropping-particle":"","family":"Nguyen","given":"Uyen","non-dropping-particle":"","parse-names":false,"suffix":""},{"dropping-particle":"","family":"Bateman","given":"Heather L","non-dropping-particle":"","parse-names":false,"suffix":""},{"dropping-particle":"","family":"Jarchow","given":"Christopher J","non-dropping-particle":"","parse-names":false,"suffix":""},{"dropping-particle":"","family":"Glenn","given":"Edward P","non-dropping-particle":"","parse-names":false,"suffix":""},{"dropping-particle":"","family":"Waugh","given":"William J","non-dropping-particle":"","parse-names":false,"suffix":""},{"dropping-particle":"","family":"Riper III","given":"Charles","non-dropping-particle":"van","parse-names":false,"suffix":""}],"container-title":"Restoration Ecology","id":"ITEM-1","issue":"2","issued":{"date-parts":[["2018","3"]]},"language":"English","note":"Copyright - © 2018 Society for Ecological Restoration\n\nLast updated - 2018-06-20\n\nSubjectsTermNotLitGenreText - Tamaricaceae; Diorhabda carinulata; Tamarix; Colorado River; USA, Colorado River","page":"348-359","publisher":"Blackwell Publishing Ltd.","publisher-place":"U. S. Geological Survey, Southwest Biological Science Center, 520 North Park Avenue, Tucson, AZ, U.S.A. ; Department of Soil, Water and Environmental Science, The University of Arizona, 1177 E 4th Street, Tucson, AZ, U.S.A. ; College of Integrative Scienc","title":"Northern tamarisk beetle (Diorhabda carinulata) and tamarisk (Tamarix spp.) interactions in the Colorado River basin","type":"article-journal","volume":"26"},"uris":["http://www.mendeley.com/documents/?uuid=a35e548e-ea57-45ff-9fbf-b65b7c051770"]}],"mendeley":{"formattedCitation":"(Nagler et al. 2018)","manualFormatting":"(2018)","plainTextFormattedCitation":"(Nagler et al. 2018)","previouslyFormattedCitation":"(Nagler et al. 2018)"},"properties":{"noteIndex":0},"schema":"https://github.com/citation-style-language/schema/raw/master/csl-citation.json"}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(2018)</w:t>
            </w:r>
            <w:r w:rsidR="002A3DA4">
              <w:rPr>
                <w:rFonts w:ascii="Arial" w:eastAsia="Calibri" w:hAnsi="Arial" w:cs="Arial"/>
              </w:rPr>
              <w:fldChar w:fldCharType="end"/>
            </w:r>
            <w:r w:rsidR="002A3DA4">
              <w:rPr>
                <w:rFonts w:ascii="Arial" w:eastAsia="Calibri" w:hAnsi="Arial" w:cs="Arial"/>
              </w:rPr>
              <w:t xml:space="preserve"> </w:t>
            </w:r>
            <w:r w:rsidRPr="00561908">
              <w:rPr>
                <w:rFonts w:ascii="Arial" w:eastAsia="Calibri" w:hAnsi="Arial" w:cs="Arial"/>
              </w:rPr>
              <w:t>publish the first analysis of remotely sensed biocontrol impacts at a large spatial and temporal extent (18 river systems across 15 years).</w:t>
            </w:r>
          </w:p>
        </w:tc>
      </w:tr>
      <w:tr w:rsidR="00A237F8" w:rsidRPr="00561908" w14:paraId="27BA5BD9" w14:textId="77777777" w:rsidTr="00123B30">
        <w:trPr>
          <w:trHeight w:val="315"/>
        </w:trPr>
        <w:tc>
          <w:tcPr>
            <w:tcW w:w="1419" w:type="dxa"/>
            <w:noWrap/>
            <w:hideMark/>
          </w:tcPr>
          <w:p w14:paraId="11B6A420" w14:textId="77777777" w:rsidR="00A237F8" w:rsidRPr="00561908" w:rsidRDefault="00A237F8" w:rsidP="00123B30">
            <w:pPr>
              <w:rPr>
                <w:rFonts w:ascii="Arial" w:eastAsia="Calibri" w:hAnsi="Arial" w:cs="Arial"/>
              </w:rPr>
            </w:pPr>
            <w:r w:rsidRPr="00561908">
              <w:rPr>
                <w:rFonts w:ascii="Arial" w:eastAsia="Calibri" w:hAnsi="Arial" w:cs="Arial"/>
              </w:rPr>
              <w:t>2019</w:t>
            </w:r>
          </w:p>
        </w:tc>
        <w:tc>
          <w:tcPr>
            <w:tcW w:w="7211" w:type="dxa"/>
            <w:noWrap/>
            <w:hideMark/>
          </w:tcPr>
          <w:p w14:paraId="26C326F5" w14:textId="611D7573" w:rsidR="00A237F8" w:rsidRPr="00561908" w:rsidRDefault="00A237F8" w:rsidP="00123B30">
            <w:pPr>
              <w:rPr>
                <w:rFonts w:ascii="Arial" w:eastAsia="Calibri" w:hAnsi="Arial" w:cs="Arial"/>
              </w:rPr>
            </w:pPr>
            <w:r w:rsidRPr="00561908">
              <w:rPr>
                <w:rFonts w:ascii="Arial" w:eastAsia="Calibri" w:hAnsi="Arial" w:cs="Arial"/>
              </w:rPr>
              <w:t xml:space="preserve">Clark et al. </w:t>
            </w:r>
            <w:r w:rsidR="002A3DA4">
              <w:rPr>
                <w:rFonts w:ascii="Arial" w:eastAsia="Calibri" w:hAnsi="Arial" w:cs="Arial"/>
              </w:rPr>
              <w:fldChar w:fldCharType="begin" w:fldLock="1"/>
            </w:r>
            <w:r w:rsidR="002A3DA4">
              <w:rPr>
                <w:rFonts w:ascii="Arial" w:eastAsia="Calibri" w:hAnsi="Arial" w:cs="Arial"/>
              </w:rPr>
              <w:instrText>ADDIN CSL_CITATION {"citationItems":[{"id":"ITEM-1","itemData":{"ISSN":"10612971","abstract":"The science</w:instrText>
            </w:r>
            <w:r w:rsidR="002A3DA4">
              <w:rPr>
                <w:rFonts w:ascii="Cambria Math" w:eastAsia="Calibri" w:hAnsi="Cambria Math" w:cs="Cambria Math"/>
              </w:rPr>
              <w:instrText>‐</w:instrText>
            </w:r>
            <w:r w:rsidR="002A3DA4">
              <w:rPr>
                <w:rFonts w:ascii="Arial" w:eastAsia="Calibri" w:hAnsi="Arial" w:cs="Arial"/>
              </w:rPr>
              <w:instrText>practice gap is often cited as a limitation to successful restoration outcomes; however, the existence of such a gap in information exchange is rarely measured. Here, we quantify the gap by focusing on common recommendations from both scientists (i.e. researchers) and managers (i.e. practitioners, land managers) on what is needed for successful restoration. We surveyed 45 managers associated with 244 invasive species (Tamarix spp.) removal projects across the southwestern U.S. to determine the degree to which they have utilized four strategies advocated by scientists: (1) collaborate widely, (2) monitor beyond cursory visual methods, (3) use a variety of information sources, and (4) consider project goals beyond invasive species removal. Half of these managers were also interviewed to assess managers' perceptions of the role of science in restoration. Twenty</w:instrText>
            </w:r>
            <w:r w:rsidR="002A3DA4">
              <w:rPr>
                <w:rFonts w:ascii="Cambria Math" w:eastAsia="Calibri" w:hAnsi="Cambria Math" w:cs="Cambria Math"/>
              </w:rPr>
              <w:instrText>‐</w:instrText>
            </w:r>
            <w:r w:rsidR="002A3DA4">
              <w:rPr>
                <w:rFonts w:ascii="Arial" w:eastAsia="Calibri" w:hAnsi="Arial" w:cs="Arial"/>
              </w:rPr>
              <w:instrText>three scientists specializing in Tamarix</w:instrText>
            </w:r>
            <w:r w:rsidR="002A3DA4">
              <w:rPr>
                <w:rFonts w:ascii="Cambria Math" w:eastAsia="Calibri" w:hAnsi="Cambria Math" w:cs="Cambria Math"/>
              </w:rPr>
              <w:instrText>‐</w:instrText>
            </w:r>
            <w:r w:rsidR="002A3DA4">
              <w:rPr>
                <w:rFonts w:ascii="Arial" w:eastAsia="Calibri" w:hAnsi="Arial" w:cs="Arial"/>
              </w:rPr>
              <w:instrText>related research in this region were also surveyed to assess how much they understood and/or shared the concerns of land managers. We found that managers were following scientists' recommendations and that managers' perceptions of the role of science in land management did not have any bearing on the management actions taken. Scientists reported being influenced by managers, and the concerns of scientists and managers were more overlapping than expected. Boundary organizations and river</w:instrText>
            </w:r>
            <w:r w:rsidR="002A3DA4">
              <w:rPr>
                <w:rFonts w:ascii="Cambria Math" w:eastAsia="Calibri" w:hAnsi="Cambria Math" w:cs="Cambria Math"/>
              </w:rPr>
              <w:instrText>‐</w:instrText>
            </w:r>
            <w:r w:rsidR="002A3DA4">
              <w:rPr>
                <w:rFonts w:ascii="Arial" w:eastAsia="Calibri" w:hAnsi="Arial" w:cs="Arial"/>
              </w:rPr>
              <w:instrText>wide partnerships were often cited as important in facilitating effective communication between land managers and scientists. A lack of funding for monitoring and for longer</w:instrText>
            </w:r>
            <w:r w:rsidR="002A3DA4">
              <w:rPr>
                <w:rFonts w:ascii="Cambria Math" w:eastAsia="Calibri" w:hAnsi="Cambria Math" w:cs="Cambria Math"/>
              </w:rPr>
              <w:instrText>‐</w:instrText>
            </w:r>
            <w:r w:rsidR="002A3DA4">
              <w:rPr>
                <w:rFonts w:ascii="Arial" w:eastAsia="Calibri" w:hAnsi="Arial" w:cs="Arial"/>
              </w:rPr>
              <w:instrText>term projects was cited by both groups as a limitation to incorporating scientists' recommendations into restoration. [ABSTRACT FROM AUTHOR]","author":[{"dropping-particle":"","family":"Clark","given":"Lisa B","non-dropping-particle":"","parse-names":false,"suffix":""},{"dropping-particle":"","family":"Henry","given":"Annie L","non-dropping-particle":"","parse-names":false,"suffix":""},{"dropping-particle":"","family":"Lave","given":"Rebecca","non-dropping-particle":"","parse-names":false,"suffix":""},{"dropping-particle":"","family":"Sayre","given":"Nathan F","non-dropping-particle":"","parse-names":false,"suffix":""},{"dropping-particle":"","family":"González","given":"Eduardo","non-dropping-particle":"","parse-names":false,"suffix":""},{"dropping-particle":"","family":"Sher","given":"Anna A","non-dropping-particle":"","parse-names":false,"suffix":""}],"container-title":"Restoration Ecology","id":"ITEM-1","issue":"6","issued":{"date-parts":[["2019","11"]]},"note":"Accession Number: 139622785; Clark, Lisa B. 1 Henry, Annie L. 1 Lave, Rebecca 2 Sayre, Nathan F. 3 González, Eduardo 1,4 Sher, Anna A.; Email Address: anna.sher@du.edu; Affiliation:  1: Department of Biological Sciences, University of Denver, Denver CO, 80208</w:instrText>
            </w:r>
            <w:r w:rsidR="002A3DA4">
              <w:rPr>
                <w:rFonts w:ascii="Cambria Math" w:eastAsia="Calibri" w:hAnsi="Cambria Math" w:cs="Cambria Math"/>
              </w:rPr>
              <w:instrText>‐</w:instrText>
            </w:r>
            <w:r w:rsidR="002A3DA4">
              <w:rPr>
                <w:rFonts w:ascii="Arial" w:eastAsia="Calibri" w:hAnsi="Arial" w:cs="Arial"/>
              </w:rPr>
              <w:instrText>9010, U.S.A.  2: Department of Geography, Indiana University, Bloomington IN, 47405, U.S.A.  3: Department of Geography, University of California, Berkeley CA, 94720, U.S.A.  4: Department of Biology, Colorado State University, Fort Collins CO, 80523, U.S.A.; Source Info: Nov2019, Vol. 27 Issue 6, p1241; Subject Term: INFORMATION sharing; Subject Term: RESTORATION ecology; Subject Term: LAND management; Subject Term: INFORMATION resources; Subject Term: SCIENTISTS; Subject Term: INTRODUCED organisms; Subject Term: TAMARISKS; Subject Term: UNITED States; Author-Supplied Keyword: boundary organizations; Author-Supplied Keyword: collaboration; Author-Supplied Keyword: information exchange; Author-Supplied Keyword: management recommendations; Author-Supplied Keyword: perception; Author-Supplied Keyword: science</w:instrText>
            </w:r>
            <w:r w:rsidR="002A3DA4">
              <w:rPr>
                <w:rFonts w:ascii="Cambria Math" w:eastAsia="Calibri" w:hAnsi="Cambria Math" w:cs="Cambria Math"/>
              </w:rPr>
              <w:instrText>‐</w:instrText>
            </w:r>
            <w:r w:rsidR="002A3DA4">
              <w:rPr>
                <w:rFonts w:ascii="Arial" w:eastAsia="Calibri" w:hAnsi="Arial" w:cs="Arial"/>
              </w:rPr>
              <w:instrText>practice gap; Number of Pages: 10p; Illustrations: 1 Chart, 2 Graphs, 1 Map; Document Type: Article","page":"1241-1250","title":"Successful information exchange between restoration science and practice.","type":"article-journal","volume":"27"},"uris":["http://www.mendeley.com/documents/?uuid=fddfb450-a7c1-4f21-abf4-9029ec2a70ed"]}],"mendeley":{"formattedCitation":"(Clark et al. 2019)","manualFormatting":"(2019)","plainTextFormattedCitation":"(Clark et al. 2019)","previouslyFormattedCitation":"(Clark et al. 2019)"},"properties":{"noteIndex":0},"schema":"https://github.com/citation-style-language/schema/raw/master/csl-citation.json"}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(2019)</w:t>
            </w:r>
            <w:r w:rsidR="002A3DA4">
              <w:rPr>
                <w:rFonts w:ascii="Arial" w:eastAsia="Calibri" w:hAnsi="Arial" w:cs="Arial"/>
              </w:rPr>
              <w:fldChar w:fldCharType="end"/>
            </w:r>
            <w:r w:rsidRPr="00561908">
              <w:rPr>
                <w:rFonts w:ascii="Arial" w:eastAsia="Calibri" w:hAnsi="Arial" w:cs="Arial"/>
              </w:rPr>
              <w:t xml:space="preserve"> quantify successful communication between scientists and managers in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projects, and the broad implementation of scientific recommendations across the Western US. </w:t>
            </w:r>
          </w:p>
        </w:tc>
      </w:tr>
      <w:tr w:rsidR="00A237F8" w:rsidRPr="00561908" w14:paraId="7F054DB4" w14:textId="77777777" w:rsidTr="00123B30">
        <w:trPr>
          <w:trHeight w:val="315"/>
        </w:trPr>
        <w:tc>
          <w:tcPr>
            <w:tcW w:w="1419" w:type="dxa"/>
            <w:noWrap/>
          </w:tcPr>
          <w:p w14:paraId="33625B51" w14:textId="77777777" w:rsidR="00A237F8" w:rsidRPr="00561908" w:rsidRDefault="00A237F8" w:rsidP="00123B30">
            <w:pPr>
              <w:rPr>
                <w:rFonts w:ascii="Arial" w:eastAsia="Calibri" w:hAnsi="Arial" w:cs="Arial"/>
              </w:rPr>
            </w:pPr>
            <w:r w:rsidRPr="00561908">
              <w:rPr>
                <w:rFonts w:ascii="Arial" w:eastAsia="Calibri" w:hAnsi="Arial" w:cs="Arial"/>
              </w:rPr>
              <w:t>2022</w:t>
            </w:r>
          </w:p>
        </w:tc>
        <w:tc>
          <w:tcPr>
            <w:tcW w:w="7211" w:type="dxa"/>
            <w:noWrap/>
          </w:tcPr>
          <w:p w14:paraId="5F55F0D7" w14:textId="5FBF4B26" w:rsidR="00A237F8" w:rsidRPr="00561908" w:rsidRDefault="00A237F8" w:rsidP="00123B30">
            <w:pPr>
              <w:rPr>
                <w:rFonts w:ascii="Arial" w:eastAsia="Calibri" w:hAnsi="Arial" w:cs="Arial"/>
              </w:rPr>
            </w:pPr>
            <w:r w:rsidRPr="00561908">
              <w:rPr>
                <w:rFonts w:ascii="Arial" w:eastAsia="Calibri" w:hAnsi="Arial" w:cs="Arial"/>
              </w:rPr>
              <w:t xml:space="preserve">Goetz et al. </w:t>
            </w:r>
            <w:r w:rsidR="002A3DA4">
              <w:rPr>
                <w:rFonts w:ascii="Arial" w:eastAsia="Calibri" w:hAnsi="Arial" w:cs="Arial"/>
              </w:rPr>
              <w:fldChar w:fldCharType="begin" w:fldLock="1"/>
            </w:r>
            <w:r w:rsidR="002A3DA4">
              <w:rPr>
                <w:rFonts w:ascii="Arial" w:eastAsia="Calibri" w:hAnsi="Arial" w:cs="Arial"/>
              </w:rPr>
              <w:instrText>ADDIN CSL_CITATION {"citationItems":[{"id":"ITEM-1","itemData":{"DOI":"10.1007/s10530-022-02805-7","ISSN":"15731464","abstract":"Invasive species removal is a common focus in restoration ecology, but the ultimate goal of native plant species recovery and habitat recovery is often elusive. Control of invasive Tamarix spp. shrubs in the American Southwest has only sometimes led to increased native species cover; this is of particular concern for the protection of bird habitat, including the endangered Southwestern willow flycatcher (Empidonax extimus trailii, abbr. SWFL) that nests readily in Tamarix when native Salix canopy is absent. If we can identify the conditions that lead to more native trees as well as habitat protection for the SWFL, we can prioritize restoration efforts more effectively and reduce conflict between conservation goals. To determine whether reduction in the invasive Tamarix led to more Salix cover, we compiled data on vegetation, soils, and geographic conditions in 260 sites where Tamarix had been subject to control efforts and 132 positive and negative reference sites. We found that (1) reduction in Tamarix only increased Salix cover in wetter sites and was greater when a particular low-disturbance removal method was used; however, the increase did not typically compensate for the overall losses in canopy cover, and (2) Salix cover was generally highest in locations with low drought stress, as reflected by soil properties, distance to water, and climate. These results suggest that the presence and recovery of Salix is dependent on its relatively narrow environmental niche, in contrast with Tamarix’s broader one. Thus, although abundance of Salix and Tamarix was negatively correlated, this is likely because of Salix’s different niche, as much as or more than direct interspecific competition. Our findings demonstrate that removal of an invasive species does not necessarily lead to reestablishment of the native species they appeared to displace. We suggest that in the case of promoting habitat for SWFL and other birds, outcomes of restoration activity can be improved by focusing Tamarix removal efforts on sites more likely to promote Salix growth based on environmental characteristics.","author":[{"dropping-particle":"","family":"Goetz","given":"Alexander","non-dropping-particle":"","parse-names":false,"suffix":""},{"dropping-particle":"","family":"Moffit","given":"Ian","non-dropping-particle":"","parse-names":false,"suffix":""},{"dropping-particle":"","family":"Sher","given":"Anna A.","non-dropping-particle":"","parse-names":false,"suffix":""}],"container-title":"Biological Invasions","id":"ITEM-1","issue":"9","issued":{"date-parts":[["2022","9","1"]]},"page":"2769-2793","publisher":"Springer Science and Business Media Deutschland GmbH","title":"Recovery of a native tree following removal of an invasive competitor with implications for endangered bird habitat","type":"article-journal","volume":"24"},"uris":["http://www.mendeley.com/documents/?uuid=809d8097-62ae-335d-8891-bc5347f201ed"]}],"mendeley":{"formattedCitation":"(Goetz et al. 2022)","manualFormatting":"(2022)","plainTextFormattedCitation":"(Goetz et al. 2022)","previouslyFormattedCitation":"(Goetz et al. 2022)"},"properties":{"noteIndex":0},"schema":"https://github.com/citation-style-language/schema/raw/master/csl-citation.json"}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(2022)</w:t>
            </w:r>
            <w:r w:rsidR="002A3DA4">
              <w:rPr>
                <w:rFonts w:ascii="Arial" w:eastAsia="Calibri" w:hAnsi="Arial" w:cs="Arial"/>
              </w:rPr>
              <w:fldChar w:fldCharType="end"/>
            </w:r>
            <w:r w:rsidRPr="00561908">
              <w:rPr>
                <w:rFonts w:ascii="Arial" w:eastAsia="Calibri" w:hAnsi="Arial" w:cs="Arial"/>
              </w:rPr>
              <w:t xml:space="preserve"> investigate response of </w:t>
            </w:r>
            <w:r w:rsidRPr="00561908">
              <w:rPr>
                <w:rFonts w:ascii="Arial" w:eastAsia="Calibri" w:hAnsi="Arial" w:cs="Arial"/>
                <w:i/>
                <w:iCs/>
              </w:rPr>
              <w:t>Salix</w:t>
            </w:r>
            <w:r w:rsidRPr="00561908">
              <w:rPr>
                <w:rFonts w:ascii="Arial" w:eastAsia="Calibri" w:hAnsi="Arial" w:cs="Arial"/>
              </w:rPr>
              <w:t xml:space="preserve"> to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 at 260 sites across the Southwest. </w:t>
            </w:r>
            <w:r w:rsidRPr="00561908">
              <w:rPr>
                <w:rFonts w:ascii="Arial" w:eastAsia="Calibri" w:hAnsi="Arial" w:cs="Arial"/>
                <w:i/>
                <w:iCs/>
              </w:rPr>
              <w:t>Salix</w:t>
            </w:r>
            <w:r w:rsidRPr="00561908">
              <w:rPr>
                <w:rFonts w:ascii="Arial" w:eastAsia="Calibri" w:hAnsi="Arial" w:cs="Arial"/>
              </w:rPr>
              <w:t xml:space="preserve"> typically replaced </w:t>
            </w:r>
            <w:proofErr w:type="spellStart"/>
            <w:r w:rsidRPr="00561908">
              <w:rPr>
                <w:rFonts w:ascii="Arial" w:eastAsia="Calibri" w:hAnsi="Arial" w:cs="Arial"/>
                <w:i/>
                <w:iCs/>
              </w:rPr>
              <w:t>Tamarix</w:t>
            </w:r>
            <w:proofErr w:type="spellEnd"/>
            <w:r w:rsidRPr="00561908">
              <w:rPr>
                <w:rFonts w:ascii="Arial" w:eastAsia="Calibri" w:hAnsi="Arial" w:cs="Arial"/>
              </w:rPr>
              <w:t xml:space="preserve"> only when there was sufficient water and herbicides employed, supporting concerns regarding </w:t>
            </w:r>
            <w:proofErr w:type="spellStart"/>
            <w:r w:rsidRPr="00561908">
              <w:rPr>
                <w:rFonts w:ascii="Arial" w:eastAsia="Calibri" w:hAnsi="Arial" w:cs="Arial"/>
                <w:i/>
                <w:iCs/>
              </w:rPr>
              <w:t>Tamarix</w:t>
            </w:r>
            <w:proofErr w:type="spellEnd"/>
            <w:r w:rsidRPr="00561908">
              <w:rPr>
                <w:rFonts w:ascii="Arial" w:eastAsia="Calibri" w:hAnsi="Arial" w:cs="Arial"/>
              </w:rPr>
              <w:t xml:space="preserve"> control’s threat to the </w:t>
            </w:r>
            <w:r>
              <w:rPr>
                <w:rFonts w:ascii="Arial" w:eastAsia="Calibri" w:hAnsi="Arial" w:cs="Arial"/>
              </w:rPr>
              <w:t>s</w:t>
            </w:r>
            <w:r w:rsidRPr="00561908">
              <w:rPr>
                <w:rFonts w:ascii="Arial" w:eastAsia="Calibri" w:hAnsi="Arial" w:cs="Arial"/>
              </w:rPr>
              <w:t>outhwest</w:t>
            </w:r>
            <w:r>
              <w:rPr>
                <w:rFonts w:ascii="Arial" w:eastAsia="Calibri" w:hAnsi="Arial" w:cs="Arial"/>
              </w:rPr>
              <w:t>ern</w:t>
            </w:r>
            <w:r w:rsidRPr="00561908">
              <w:rPr>
                <w:rFonts w:ascii="Arial" w:eastAsia="Calibri" w:hAnsi="Arial" w:cs="Arial"/>
              </w:rPr>
              <w:t xml:space="preserve"> willow flycatcher.</w:t>
            </w:r>
          </w:p>
        </w:tc>
      </w:tr>
      <w:tr w:rsidR="00A237F8" w:rsidRPr="00561908" w14:paraId="2512A509" w14:textId="77777777" w:rsidTr="00123B30">
        <w:trPr>
          <w:trHeight w:val="315"/>
        </w:trPr>
        <w:tc>
          <w:tcPr>
            <w:tcW w:w="1419" w:type="dxa"/>
            <w:noWrap/>
          </w:tcPr>
          <w:p w14:paraId="0982FE49" w14:textId="77777777" w:rsidR="00A237F8" w:rsidRPr="00561908" w:rsidRDefault="00A237F8" w:rsidP="00123B30">
            <w:pPr>
              <w:rPr>
                <w:rFonts w:ascii="Arial" w:eastAsia="Calibri" w:hAnsi="Arial" w:cs="Arial"/>
              </w:rPr>
            </w:pPr>
            <w:r w:rsidRPr="00561908">
              <w:rPr>
                <w:rFonts w:ascii="Arial" w:eastAsia="Calibri" w:hAnsi="Arial" w:cs="Arial"/>
              </w:rPr>
              <w:t>2023</w:t>
            </w:r>
          </w:p>
        </w:tc>
        <w:tc>
          <w:tcPr>
            <w:tcW w:w="7211" w:type="dxa"/>
            <w:noWrap/>
          </w:tcPr>
          <w:p w14:paraId="0161EECB" w14:textId="1E3F1F7F" w:rsidR="00A237F8" w:rsidRPr="00561908" w:rsidRDefault="00A237F8" w:rsidP="00123B30">
            <w:pPr>
              <w:rPr>
                <w:rFonts w:ascii="Arial" w:eastAsia="Calibri" w:hAnsi="Arial" w:cs="Arial"/>
              </w:rPr>
            </w:pPr>
            <w:r w:rsidRPr="00561908">
              <w:rPr>
                <w:rFonts w:ascii="Arial" w:eastAsia="Calibri" w:hAnsi="Arial" w:cs="Arial"/>
              </w:rPr>
              <w:t xml:space="preserve">Henry et al. </w:t>
            </w:r>
            <w:r w:rsidR="002A3DA4">
              <w:rPr>
                <w:rFonts w:ascii="Arial" w:eastAsia="Calibri" w:hAnsi="Arial" w:cs="Arial"/>
              </w:rPr>
              <w:fldChar w:fldCharType="begin" w:fldLock="1"/>
            </w:r>
            <w:r w:rsidR="002A3DA4">
              <w:rPr>
                <w:rFonts w:ascii="Arial" w:eastAsia="Calibri" w:hAnsi="Arial" w:cs="Arial"/>
              </w:rPr>
              <w:instrText>ADDIN CSL_CITATION {"citationItems":[{"id":"ITEM-1","itemData":{"DOI":"10.1007/s10530-022-02967-4","ISBN":"0123456789","ISSN":"15731464","abstract":"Understanding plant community response to environmental change is a crucial aspect of biological conservation and restoration, but species-based approaches are limited in that they do not reveal the underlying mechanisms driving vegetation dynamics. An understanding of trait-environment relationships is particularly important in the case of invasive species which may alter abiotic conditions and available resources. This study is the first to measure the functional response of riparian plant communities to biocontrol of an invasive species. We focused on an invasive shrub, Tamarix (saltcedar), that is defoliated by a beetle that was released by the US Department of Agriculture along the Upper Colorado River (southwestern United States). We calculated community weighted means and functional dispersion of individual traits, multivariate functional dispersion and species diversity. We used linear mixed effect models (LME) to compare these metrics at paired vegetation patches dominated and not dominated by Tamarix during cycles of defoliation and refoliation over eight years. We found that community-weighted average trait values, species diversity and functional dispersion changed little in response to defoliation, and instead seemed to be responding to fluctuations in yearly precipitation. Average height and seed weight were greater in Tamarix-dominated patches relative to control patches. Functional dispersion followed a similar trajectory to species diversity, but was a more sensitive indicator of plant community change. We showed that riparian vegetation can be resilient to Tamarix biocontrol, and that defoliation might not necessarily always lead to substantial changes in ecosystem function.","author":[{"dropping-particle":"","family":"Henry","given":"A. L.","non-dropping-particle":"","parse-names":false,"suffix":""},{"dropping-particle":"","family":"González-Sargas","given":"E.","non-dropping-particle":"","parse-names":false,"suffix":""},{"dropping-particle":"","family":"Shafroth","given":"P. B.","non-dropping-particle":"","parse-names":false,"suffix":""},{"dropping-particle":"","family":"Goetz","given":"A. R.B.","non-dropping-particle":"","parse-names":false,"suffix":""},{"dropping-particle":"","family":"Sher","given":"A. A.","non-dropping-particle":"","parse-names":false,"suffix":""}],"container-title":"Biological Invasions","id":"ITEM-1","issue":"4","issued":{"date-parts":[["2023"]]},"page":"1133-1147","publisher":"Springer International Publishing","title":"Functional stability of vegetation following biocontrol of an invasive riparian shrub","type":"article-journal","volume":"25"},"uris":["http://www.mendeley.com/documents/?uuid=f5dc7afd-b482-4798-b3df-87d359918f70"]}],"mendeley":{"formattedCitation":"(Henry et al. 2023)","manualFormatting":"(2023)","plainTextFormattedCitation":"(Henry et al. 2023)","previouslyFormattedCitation":"(Henry et al. 2023)"},"properties":{"noteIndex":0},"schema":"https://github.com/citation-style-language/schema/raw/master/csl-citation.json"}</w:instrText>
            </w:r>
            <w:r w:rsidR="002A3DA4">
              <w:rPr>
                <w:rFonts w:ascii="Arial" w:eastAsia="Calibri" w:hAnsi="Arial" w:cs="Arial"/>
              </w:rPr>
              <w:fldChar w:fldCharType="separate"/>
            </w:r>
            <w:r w:rsidR="002A3DA4" w:rsidRPr="002A3DA4">
              <w:rPr>
                <w:rFonts w:ascii="Arial" w:eastAsia="Calibri" w:hAnsi="Arial" w:cs="Arial"/>
                <w:noProof/>
              </w:rPr>
              <w:t>(2023)</w:t>
            </w:r>
            <w:r w:rsidR="002A3DA4">
              <w:rPr>
                <w:rFonts w:ascii="Arial" w:eastAsia="Calibri" w:hAnsi="Arial" w:cs="Arial"/>
              </w:rPr>
              <w:fldChar w:fldCharType="end"/>
            </w:r>
            <w:r w:rsidRPr="00561908">
              <w:rPr>
                <w:rFonts w:ascii="Arial" w:eastAsia="Calibri" w:hAnsi="Arial" w:cs="Arial"/>
              </w:rPr>
              <w:t xml:space="preserve"> use a functional trait approach for the first time to study vegetation response to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control.</w:t>
            </w:r>
          </w:p>
        </w:tc>
      </w:tr>
    </w:tbl>
    <w:p w14:paraId="57520217" w14:textId="77777777" w:rsidR="00A237F8" w:rsidRDefault="00A237F8" w:rsidP="00A237F8">
      <w:pPr>
        <w:rPr>
          <w:rFonts w:ascii="Arial" w:hAnsi="Arial" w:cs="Arial"/>
        </w:rPr>
      </w:pPr>
    </w:p>
    <w:p w14:paraId="00271E10" w14:textId="77777777" w:rsidR="00A237F8" w:rsidRPr="00123B30" w:rsidRDefault="00A237F8" w:rsidP="00A237F8">
      <w:pPr>
        <w:pStyle w:val="FigureTableTitle1"/>
        <w:rPr>
          <w:rFonts w:ascii="Arial" w:hAnsi="Arial" w:cs="Arial"/>
          <w:sz w:val="22"/>
          <w:szCs w:val="22"/>
        </w:rPr>
      </w:pPr>
      <w:r w:rsidRPr="00123B30">
        <w:rPr>
          <w:rFonts w:ascii="Arial" w:hAnsi="Arial" w:cs="Arial"/>
          <w:sz w:val="22"/>
          <w:szCs w:val="22"/>
        </w:rPr>
        <w:t>Table S</w:t>
      </w:r>
      <w:r w:rsidRPr="00123B30">
        <w:rPr>
          <w:rFonts w:ascii="Arial" w:hAnsi="Arial" w:cs="Arial"/>
          <w:sz w:val="22"/>
          <w:szCs w:val="22"/>
        </w:rPr>
        <w:fldChar w:fldCharType="begin"/>
      </w:r>
      <w:r w:rsidRPr="00123B30">
        <w:rPr>
          <w:rFonts w:ascii="Arial" w:hAnsi="Arial" w:cs="Arial"/>
          <w:sz w:val="22"/>
          <w:szCs w:val="22"/>
        </w:rPr>
        <w:instrText xml:space="preserve"> SEQ S \* ARABIC </w:instrText>
      </w:r>
      <w:r w:rsidRPr="00123B30">
        <w:rPr>
          <w:rFonts w:ascii="Arial" w:hAnsi="Arial" w:cs="Arial"/>
          <w:sz w:val="22"/>
          <w:szCs w:val="22"/>
        </w:rPr>
        <w:fldChar w:fldCharType="separate"/>
      </w:r>
      <w:r w:rsidRPr="00123B30">
        <w:rPr>
          <w:rFonts w:ascii="Arial" w:hAnsi="Arial" w:cs="Arial"/>
          <w:noProof/>
          <w:sz w:val="22"/>
          <w:szCs w:val="22"/>
        </w:rPr>
        <w:t>2</w:t>
      </w:r>
      <w:r w:rsidRPr="00123B30">
        <w:rPr>
          <w:rFonts w:ascii="Arial" w:hAnsi="Arial" w:cs="Arial"/>
          <w:sz w:val="22"/>
          <w:szCs w:val="22"/>
        </w:rPr>
        <w:fldChar w:fldCharType="end"/>
      </w:r>
      <w:r w:rsidRPr="00123B30">
        <w:rPr>
          <w:rFonts w:ascii="Arial" w:hAnsi="Arial" w:cs="Arial"/>
          <w:sz w:val="22"/>
          <w:szCs w:val="22"/>
        </w:rPr>
        <w:t xml:space="preserve"> : Summary of prior reviews of the literature on </w:t>
      </w:r>
      <w:proofErr w:type="spellStart"/>
      <w:r w:rsidRPr="00123B30">
        <w:rPr>
          <w:rFonts w:ascii="Arial" w:hAnsi="Arial" w:cs="Arial"/>
          <w:i/>
          <w:iCs w:val="0"/>
          <w:sz w:val="22"/>
          <w:szCs w:val="22"/>
        </w:rPr>
        <w:t>Tamarix</w:t>
      </w:r>
      <w:proofErr w:type="spellEnd"/>
      <w:r w:rsidRPr="00123B30">
        <w:rPr>
          <w:rFonts w:ascii="Arial" w:hAnsi="Arial" w:cs="Arial"/>
          <w:sz w:val="22"/>
          <w:szCs w:val="22"/>
        </w:rPr>
        <w:t xml:space="preserve"> spp. control in the American Southwest. “Important findings” are stated answers to research questions or our takeaways regarding major steps or paradigm shifts shown in each review.</w:t>
      </w:r>
    </w:p>
    <w:tbl>
      <w:tblPr>
        <w:tblStyle w:val="TableGrid1"/>
        <w:tblW w:w="5000" w:type="pct"/>
        <w:tblLook w:val="04A0" w:firstRow="1" w:lastRow="0" w:firstColumn="1" w:lastColumn="0" w:noHBand="0" w:noVBand="1"/>
      </w:tblPr>
      <w:tblGrid>
        <w:gridCol w:w="1642"/>
        <w:gridCol w:w="3854"/>
        <w:gridCol w:w="3854"/>
      </w:tblGrid>
      <w:tr w:rsidR="00A237F8" w:rsidRPr="00561908" w14:paraId="028F0D7C" w14:textId="77777777" w:rsidTr="00123B30">
        <w:tc>
          <w:tcPr>
            <w:tcW w:w="878" w:type="pct"/>
          </w:tcPr>
          <w:p w14:paraId="77B9049B" w14:textId="77777777" w:rsidR="00A237F8" w:rsidRPr="00561908" w:rsidRDefault="00A237F8" w:rsidP="00123B30">
            <w:pPr>
              <w:rPr>
                <w:rFonts w:ascii="Arial" w:eastAsia="Calibri" w:hAnsi="Arial" w:cs="Arial"/>
              </w:rPr>
            </w:pPr>
            <w:r w:rsidRPr="00561908">
              <w:rPr>
                <w:rFonts w:ascii="Arial" w:eastAsia="Calibri" w:hAnsi="Arial" w:cs="Arial"/>
              </w:rPr>
              <w:t>Review paper</w:t>
            </w:r>
          </w:p>
        </w:tc>
        <w:tc>
          <w:tcPr>
            <w:tcW w:w="2061" w:type="pct"/>
          </w:tcPr>
          <w:p w14:paraId="0FF2A261" w14:textId="77777777" w:rsidR="00A237F8" w:rsidRPr="00561908" w:rsidRDefault="00A237F8" w:rsidP="00123B30">
            <w:pPr>
              <w:rPr>
                <w:rFonts w:ascii="Arial" w:eastAsia="Calibri" w:hAnsi="Arial" w:cs="Arial"/>
              </w:rPr>
            </w:pPr>
            <w:r w:rsidRPr="00561908">
              <w:rPr>
                <w:rFonts w:ascii="Arial" w:eastAsia="Calibri" w:hAnsi="Arial" w:cs="Arial"/>
              </w:rPr>
              <w:t>Purpose/important findings</w:t>
            </w:r>
          </w:p>
        </w:tc>
        <w:tc>
          <w:tcPr>
            <w:tcW w:w="2061" w:type="pct"/>
          </w:tcPr>
          <w:p w14:paraId="6A4C0CAC" w14:textId="77777777" w:rsidR="00A237F8" w:rsidRPr="00561908" w:rsidRDefault="00A237F8" w:rsidP="00123B30">
            <w:pPr>
              <w:rPr>
                <w:rFonts w:ascii="Arial" w:eastAsia="Calibri" w:hAnsi="Arial" w:cs="Arial"/>
              </w:rPr>
            </w:pPr>
            <w:r w:rsidRPr="00561908">
              <w:rPr>
                <w:rFonts w:ascii="Arial" w:eastAsia="Calibri" w:hAnsi="Arial" w:cs="Arial"/>
              </w:rPr>
              <w:t>Stated further questions/recommendations</w:t>
            </w:r>
          </w:p>
        </w:tc>
      </w:tr>
      <w:tr w:rsidR="00A237F8" w:rsidRPr="00561908" w14:paraId="62002DF8" w14:textId="77777777" w:rsidTr="00123B30">
        <w:tc>
          <w:tcPr>
            <w:tcW w:w="878" w:type="pct"/>
          </w:tcPr>
          <w:p w14:paraId="45051035" w14:textId="77777777" w:rsidR="00A237F8" w:rsidRPr="00561908" w:rsidRDefault="00A237F8" w:rsidP="00123B30">
            <w:pPr>
              <w:rPr>
                <w:rFonts w:ascii="Arial" w:eastAsia="Calibri" w:hAnsi="Arial" w:cs="Arial"/>
              </w:rPr>
            </w:pPr>
            <w:r w:rsidRPr="00561908">
              <w:rPr>
                <w:rFonts w:ascii="Arial" w:eastAsia="Calibri" w:hAnsi="Arial" w:cs="Arial"/>
              </w:rPr>
              <w:t>DiTomaso 1998</w:t>
            </w:r>
          </w:p>
        </w:tc>
        <w:tc>
          <w:tcPr>
            <w:tcW w:w="2061" w:type="pct"/>
          </w:tcPr>
          <w:p w14:paraId="6E4BAA01" w14:textId="77777777" w:rsidR="00A237F8" w:rsidRPr="00561908" w:rsidRDefault="00A237F8" w:rsidP="00123B30">
            <w:pPr>
              <w:rPr>
                <w:rFonts w:ascii="Arial" w:eastAsia="Calibri" w:hAnsi="Arial" w:cs="Arial"/>
              </w:rPr>
            </w:pPr>
            <w:r w:rsidRPr="00561908">
              <w:rPr>
                <w:rFonts w:ascii="Arial" w:eastAsia="Calibri" w:hAnsi="Arial" w:cs="Arial"/>
              </w:rPr>
              <w:t xml:space="preserve">Characterizes biology and ecology of invasive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(including utility to wildlife)</w:t>
            </w:r>
            <w:r>
              <w:rPr>
                <w:rFonts w:ascii="Arial" w:eastAsia="Calibri" w:hAnsi="Arial" w:cs="Arial"/>
              </w:rPr>
              <w:t>.</w:t>
            </w:r>
          </w:p>
          <w:p w14:paraId="67C5D6A8" w14:textId="77777777" w:rsidR="00A237F8" w:rsidRPr="00561908" w:rsidRDefault="00A237F8" w:rsidP="00123B30">
            <w:pPr>
              <w:rPr>
                <w:rFonts w:ascii="Arial" w:eastAsia="Calibri" w:hAnsi="Arial" w:cs="Arial"/>
              </w:rPr>
            </w:pPr>
            <w:r w:rsidRPr="00561908">
              <w:rPr>
                <w:rFonts w:ascii="Arial" w:eastAsia="Calibri" w:hAnsi="Arial" w:cs="Arial"/>
              </w:rPr>
              <w:t xml:space="preserve">Summarizes invasion history and the efficacy of various control methods at reducing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cover</w:t>
            </w:r>
            <w:r>
              <w:rPr>
                <w:rFonts w:ascii="Arial" w:eastAsia="Calibri" w:hAnsi="Arial" w:cs="Arial"/>
              </w:rPr>
              <w:t>.</w:t>
            </w:r>
          </w:p>
          <w:p w14:paraId="2BC8D342" w14:textId="77777777" w:rsidR="00A237F8" w:rsidRPr="00561908" w:rsidRDefault="00A237F8" w:rsidP="00123B30">
            <w:pPr>
              <w:rPr>
                <w:rFonts w:ascii="Arial" w:eastAsia="Calibri" w:hAnsi="Arial" w:cs="Arial"/>
              </w:rPr>
            </w:pPr>
            <w:r w:rsidRPr="00561908">
              <w:rPr>
                <w:rFonts w:ascii="Arial" w:eastAsia="Calibri" w:hAnsi="Arial" w:cs="Arial"/>
              </w:rPr>
              <w:t xml:space="preserve">Reports that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“rarely” provides wildlife </w:t>
            </w:r>
            <w:r w:rsidRPr="3DEE2B58">
              <w:rPr>
                <w:rFonts w:ascii="Arial" w:eastAsia="Calibri" w:hAnsi="Arial" w:cs="Arial"/>
              </w:rPr>
              <w:t>habitat</w:t>
            </w:r>
            <w:r>
              <w:rPr>
                <w:rFonts w:ascii="Arial" w:eastAsia="Calibri" w:hAnsi="Arial" w:cs="Arial"/>
              </w:rPr>
              <w:t>.</w:t>
            </w:r>
          </w:p>
        </w:tc>
        <w:tc>
          <w:tcPr>
            <w:tcW w:w="2061" w:type="pct"/>
          </w:tcPr>
          <w:p w14:paraId="525D57DA" w14:textId="77777777" w:rsidR="00A237F8" w:rsidRPr="00561908" w:rsidRDefault="00A237F8" w:rsidP="00123B30">
            <w:pPr>
              <w:rPr>
                <w:rFonts w:ascii="Arial" w:eastAsia="Calibri" w:hAnsi="Arial" w:cs="Arial"/>
              </w:rPr>
            </w:pPr>
            <w:r w:rsidRPr="00561908">
              <w:rPr>
                <w:rFonts w:ascii="Arial" w:eastAsia="Calibri" w:hAnsi="Arial" w:cs="Arial"/>
              </w:rPr>
              <w:t>None stated</w:t>
            </w:r>
          </w:p>
        </w:tc>
      </w:tr>
      <w:tr w:rsidR="00A237F8" w:rsidRPr="00561908" w14:paraId="1CC2848B" w14:textId="77777777" w:rsidTr="00123B30">
        <w:tc>
          <w:tcPr>
            <w:tcW w:w="878" w:type="pct"/>
          </w:tcPr>
          <w:p w14:paraId="3BF072E3" w14:textId="77777777" w:rsidR="00A237F8" w:rsidRPr="00561908" w:rsidRDefault="00A237F8" w:rsidP="00123B30">
            <w:pPr>
              <w:rPr>
                <w:rFonts w:ascii="Arial" w:eastAsia="Calibri" w:hAnsi="Arial" w:cs="Arial"/>
              </w:rPr>
            </w:pPr>
            <w:proofErr w:type="spellStart"/>
            <w:r w:rsidRPr="00561908">
              <w:rPr>
                <w:rFonts w:ascii="Arial" w:eastAsia="Calibri" w:hAnsi="Arial" w:cs="Arial"/>
              </w:rPr>
              <w:t>Shafroth</w:t>
            </w:r>
            <w:proofErr w:type="spellEnd"/>
            <w:r w:rsidRPr="00561908">
              <w:rPr>
                <w:rFonts w:ascii="Arial" w:eastAsia="Calibri" w:hAnsi="Arial" w:cs="Arial"/>
              </w:rPr>
              <w:t xml:space="preserve"> et al. 2005</w:t>
            </w:r>
          </w:p>
        </w:tc>
        <w:tc>
          <w:tcPr>
            <w:tcW w:w="2061" w:type="pct"/>
          </w:tcPr>
          <w:p w14:paraId="1274489B" w14:textId="77777777" w:rsidR="00A237F8" w:rsidRPr="00561908" w:rsidRDefault="00A237F8" w:rsidP="00123B30">
            <w:pPr>
              <w:rPr>
                <w:rFonts w:ascii="Arial" w:eastAsia="Calibri" w:hAnsi="Arial" w:cs="Arial"/>
              </w:rPr>
            </w:pPr>
            <w:r w:rsidRPr="00561908">
              <w:rPr>
                <w:rFonts w:ascii="Arial" w:eastAsia="Calibri" w:hAnsi="Arial" w:cs="Arial"/>
              </w:rPr>
              <w:t>Strong focus on management implications</w:t>
            </w:r>
            <w:r>
              <w:rPr>
                <w:rFonts w:ascii="Arial" w:eastAsia="Calibri" w:hAnsi="Arial" w:cs="Arial"/>
              </w:rPr>
              <w:t>, particularly water yield.</w:t>
            </w:r>
          </w:p>
          <w:p w14:paraId="1212297E" w14:textId="77777777" w:rsidR="00A237F8" w:rsidRPr="00561908" w:rsidRDefault="00A237F8" w:rsidP="00123B30">
            <w:pPr>
              <w:rPr>
                <w:rFonts w:ascii="Arial" w:eastAsia="Calibri" w:hAnsi="Arial" w:cs="Arial"/>
              </w:rPr>
            </w:pPr>
            <w:r w:rsidRPr="00561908">
              <w:rPr>
                <w:rFonts w:ascii="Arial" w:eastAsia="Calibri" w:hAnsi="Arial" w:cs="Arial"/>
              </w:rPr>
              <w:t>Discusses tradeoffs between water yield and whole-ecosystem health</w:t>
            </w:r>
            <w:r>
              <w:rPr>
                <w:rFonts w:ascii="Arial" w:eastAsia="Calibri" w:hAnsi="Arial" w:cs="Arial"/>
              </w:rPr>
              <w:t xml:space="preserve"> including wildlife habitat quality</w:t>
            </w:r>
            <w:r w:rsidRPr="00561908">
              <w:rPr>
                <w:rFonts w:ascii="Arial" w:eastAsia="Calibri" w:hAnsi="Arial" w:cs="Arial"/>
              </w:rPr>
              <w:t xml:space="preserve">. </w:t>
            </w:r>
          </w:p>
          <w:p w14:paraId="5DCE8FAD" w14:textId="77777777" w:rsidR="00A237F8" w:rsidRPr="00561908" w:rsidRDefault="00A237F8" w:rsidP="00123B30">
            <w:pPr>
              <w:rPr>
                <w:rFonts w:ascii="Arial" w:eastAsia="Calibri" w:hAnsi="Arial" w:cs="Arial"/>
              </w:rPr>
            </w:pPr>
            <w:r w:rsidRPr="00561908">
              <w:rPr>
                <w:rFonts w:ascii="Arial" w:eastAsia="Calibri" w:hAnsi="Arial" w:cs="Arial"/>
              </w:rPr>
              <w:t>Main findings:</w:t>
            </w:r>
          </w:p>
          <w:p w14:paraId="586AD5EF" w14:textId="77777777" w:rsidR="00A237F8" w:rsidRPr="00561908" w:rsidRDefault="00A237F8" w:rsidP="00123B30">
            <w:pPr>
              <w:rPr>
                <w:rFonts w:ascii="Arial" w:eastAsia="Calibri" w:hAnsi="Arial" w:cs="Arial"/>
              </w:rPr>
            </w:pPr>
            <w:r w:rsidRPr="00561908">
              <w:rPr>
                <w:rFonts w:ascii="Arial" w:eastAsia="Calibri" w:hAnsi="Arial" w:cs="Arial"/>
              </w:rPr>
              <w:t xml:space="preserve">Previous assumptions that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uses more water than native species were found to be false. </w:t>
            </w:r>
          </w:p>
          <w:p w14:paraId="159E15DB" w14:textId="77777777" w:rsidR="00A237F8" w:rsidRPr="00561908" w:rsidRDefault="00A237F8" w:rsidP="00123B30">
            <w:pPr>
              <w:rPr>
                <w:rFonts w:ascii="Arial" w:eastAsia="Calibri" w:hAnsi="Arial" w:cs="Arial"/>
              </w:rPr>
            </w:pPr>
            <w:r w:rsidRPr="00561908">
              <w:rPr>
                <w:rFonts w:ascii="Arial" w:eastAsia="Calibri" w:hAnsi="Arial" w:cs="Arial"/>
              </w:rPr>
              <w:t xml:space="preserve">Wildlife habitat improvement following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control is not guaranteed;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can support some species and improvements will not necessarily be observed if the </w:t>
            </w:r>
            <w:r w:rsidRPr="00561908">
              <w:rPr>
                <w:rFonts w:ascii="Arial" w:eastAsia="Calibri" w:hAnsi="Arial" w:cs="Arial"/>
              </w:rPr>
              <w:lastRenderedPageBreak/>
              <w:t xml:space="preserve">removed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is not replaced with native trees like </w:t>
            </w:r>
            <w:r>
              <w:rPr>
                <w:rFonts w:ascii="Arial" w:eastAsia="Calibri" w:hAnsi="Arial" w:cs="Arial"/>
                <w:i/>
                <w:iCs/>
              </w:rPr>
              <w:t xml:space="preserve">Populus </w:t>
            </w:r>
            <w:r>
              <w:rPr>
                <w:rFonts w:ascii="Arial" w:eastAsia="Calibri" w:hAnsi="Arial" w:cs="Arial"/>
              </w:rPr>
              <w:t>spp.</w:t>
            </w:r>
            <w:r w:rsidRPr="00561908">
              <w:rPr>
                <w:rFonts w:ascii="Arial" w:eastAsia="Calibri" w:hAnsi="Arial" w:cs="Arial"/>
              </w:rPr>
              <w:t xml:space="preserve">, </w:t>
            </w:r>
            <w:r>
              <w:rPr>
                <w:rFonts w:ascii="Arial" w:eastAsia="Calibri" w:hAnsi="Arial" w:cs="Arial"/>
                <w:i/>
                <w:iCs/>
              </w:rPr>
              <w:t xml:space="preserve">Prosopis </w:t>
            </w:r>
            <w:r>
              <w:rPr>
                <w:rFonts w:ascii="Arial" w:eastAsia="Calibri" w:hAnsi="Arial" w:cs="Arial"/>
              </w:rPr>
              <w:t>spp. (mesquites)</w:t>
            </w:r>
            <w:r w:rsidRPr="00561908">
              <w:rPr>
                <w:rFonts w:ascii="Arial" w:eastAsia="Calibri" w:hAnsi="Arial" w:cs="Arial"/>
              </w:rPr>
              <w:t xml:space="preserve">, or </w:t>
            </w:r>
            <w:r>
              <w:rPr>
                <w:rFonts w:ascii="Arial" w:eastAsia="Calibri" w:hAnsi="Arial" w:cs="Arial"/>
                <w:i/>
                <w:iCs/>
              </w:rPr>
              <w:t xml:space="preserve">Salix </w:t>
            </w:r>
            <w:r>
              <w:rPr>
                <w:rFonts w:ascii="Arial" w:eastAsia="Calibri" w:hAnsi="Arial" w:cs="Arial"/>
              </w:rPr>
              <w:t>spp</w:t>
            </w:r>
            <w:r w:rsidRPr="00561908">
              <w:rPr>
                <w:rFonts w:ascii="Arial" w:eastAsia="Calibri" w:hAnsi="Arial" w:cs="Arial"/>
              </w:rPr>
              <w:t xml:space="preserve">. </w:t>
            </w:r>
          </w:p>
          <w:p w14:paraId="6CB938D7" w14:textId="77777777" w:rsidR="00A237F8" w:rsidRPr="00561908" w:rsidRDefault="00A237F8" w:rsidP="00123B30">
            <w:pPr>
              <w:rPr>
                <w:rFonts w:ascii="Arial" w:eastAsia="Calibri" w:hAnsi="Arial" w:cs="Arial"/>
              </w:rPr>
            </w:pPr>
            <w:r w:rsidRPr="00561908">
              <w:rPr>
                <w:rFonts w:ascii="Arial" w:eastAsia="Calibri" w:hAnsi="Arial" w:cs="Arial"/>
              </w:rPr>
              <w:t xml:space="preserve">Chemical treatment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is effective at reducing cover, but biocontrol field tests are also promising. </w:t>
            </w:r>
          </w:p>
          <w:p w14:paraId="18C6787C" w14:textId="77777777" w:rsidR="00A237F8" w:rsidRPr="00561908" w:rsidRDefault="00A237F8" w:rsidP="00123B30">
            <w:pPr>
              <w:rPr>
                <w:rFonts w:ascii="Arial" w:eastAsia="Calibri" w:hAnsi="Arial" w:cs="Arial"/>
              </w:rPr>
            </w:pPr>
            <w:r w:rsidRPr="00561908">
              <w:rPr>
                <w:rFonts w:ascii="Arial" w:eastAsia="Calibri" w:hAnsi="Arial" w:cs="Arial"/>
              </w:rPr>
              <w:t>Revegetating with historical species compositions is difficult; site-specific planning is important.</w:t>
            </w:r>
          </w:p>
        </w:tc>
        <w:tc>
          <w:tcPr>
            <w:tcW w:w="2061" w:type="pct"/>
          </w:tcPr>
          <w:p w14:paraId="1108E193" w14:textId="77777777" w:rsidR="00A237F8" w:rsidRPr="00561908" w:rsidRDefault="00A237F8" w:rsidP="00123B30">
            <w:pPr>
              <w:rPr>
                <w:rFonts w:ascii="Arial" w:eastAsia="Calibri" w:hAnsi="Arial" w:cs="Arial"/>
              </w:rPr>
            </w:pPr>
            <w:r w:rsidRPr="00561908">
              <w:rPr>
                <w:rFonts w:ascii="Arial" w:eastAsia="Calibri" w:hAnsi="Arial" w:cs="Arial"/>
              </w:rPr>
              <w:lastRenderedPageBreak/>
              <w:t xml:space="preserve">“Future projects should also include a commitment to rigorous </w:t>
            </w:r>
            <w:r w:rsidRPr="78E5CFAA">
              <w:rPr>
                <w:rFonts w:ascii="Arial" w:eastAsia="Calibri" w:hAnsi="Arial" w:cs="Arial"/>
              </w:rPr>
              <w:t>pre-project</w:t>
            </w:r>
            <w:r w:rsidRPr="00561908">
              <w:rPr>
                <w:rFonts w:ascii="Arial" w:eastAsia="Calibri" w:hAnsi="Arial" w:cs="Arial"/>
              </w:rPr>
              <w:t xml:space="preserve"> and </w:t>
            </w:r>
            <w:r w:rsidRPr="033C156D">
              <w:rPr>
                <w:rFonts w:ascii="Arial" w:eastAsia="Calibri" w:hAnsi="Arial" w:cs="Arial"/>
              </w:rPr>
              <w:t>post-project</w:t>
            </w:r>
            <w:r w:rsidRPr="00561908">
              <w:rPr>
                <w:rFonts w:ascii="Arial" w:eastAsia="Calibri" w:hAnsi="Arial" w:cs="Arial"/>
              </w:rPr>
              <w:t xml:space="preserve"> monitoring to quantify the efficacy of control and restoration approaches, the responses of wildlife populations, and changes to water budgets over the long-term</w:t>
            </w:r>
            <w:r w:rsidRPr="3345B769">
              <w:rPr>
                <w:rFonts w:ascii="Arial" w:eastAsia="Calibri" w:hAnsi="Arial" w:cs="Arial"/>
              </w:rPr>
              <w:t>”</w:t>
            </w:r>
          </w:p>
        </w:tc>
      </w:tr>
      <w:tr w:rsidR="00A237F8" w:rsidRPr="00561908" w14:paraId="1B3B0F4D" w14:textId="77777777" w:rsidTr="00123B30">
        <w:tc>
          <w:tcPr>
            <w:tcW w:w="878" w:type="pct"/>
          </w:tcPr>
          <w:p w14:paraId="6D638E8D" w14:textId="77777777" w:rsidR="00A237F8" w:rsidRPr="00561908" w:rsidRDefault="00A237F8" w:rsidP="00123B30">
            <w:pPr>
              <w:rPr>
                <w:rFonts w:ascii="Arial" w:eastAsia="Calibri" w:hAnsi="Arial" w:cs="Arial"/>
              </w:rPr>
            </w:pPr>
            <w:proofErr w:type="spellStart"/>
            <w:r w:rsidRPr="00561908">
              <w:rPr>
                <w:rFonts w:ascii="Arial" w:eastAsia="Calibri" w:hAnsi="Arial" w:cs="Arial"/>
              </w:rPr>
              <w:t>Shafroth</w:t>
            </w:r>
            <w:proofErr w:type="spellEnd"/>
            <w:r w:rsidRPr="00561908">
              <w:rPr>
                <w:rFonts w:ascii="Arial" w:eastAsia="Calibri" w:hAnsi="Arial" w:cs="Arial"/>
              </w:rPr>
              <w:t xml:space="preserve"> et al. 2008</w:t>
            </w:r>
          </w:p>
        </w:tc>
        <w:tc>
          <w:tcPr>
            <w:tcW w:w="2061" w:type="pct"/>
          </w:tcPr>
          <w:p w14:paraId="1F60B10F" w14:textId="77777777" w:rsidR="00A237F8" w:rsidRPr="00561908" w:rsidRDefault="00A237F8" w:rsidP="00123B30">
            <w:pPr>
              <w:rPr>
                <w:rFonts w:ascii="Arial" w:eastAsia="Calibri" w:hAnsi="Arial" w:cs="Arial"/>
              </w:rPr>
            </w:pPr>
            <w:r w:rsidRPr="00561908">
              <w:rPr>
                <w:rFonts w:ascii="Arial" w:eastAsia="Calibri" w:hAnsi="Arial" w:cs="Arial"/>
              </w:rPr>
              <w:t xml:space="preserve">Stresses the importance </w:t>
            </w:r>
            <w:proofErr w:type="gramStart"/>
            <w:r w:rsidRPr="00561908">
              <w:rPr>
                <w:rFonts w:ascii="Arial" w:eastAsia="Calibri" w:hAnsi="Arial" w:cs="Arial"/>
              </w:rPr>
              <w:t>for</w:t>
            </w:r>
            <w:proofErr w:type="gramEnd"/>
            <w:r w:rsidRPr="00561908">
              <w:rPr>
                <w:rFonts w:ascii="Arial" w:eastAsia="Calibri" w:hAnsi="Arial" w:cs="Arial"/>
              </w:rPr>
              <w:t xml:space="preserve"> pre-project planning</w:t>
            </w:r>
            <w:r>
              <w:rPr>
                <w:rFonts w:ascii="Arial" w:eastAsia="Calibri" w:hAnsi="Arial" w:cs="Arial"/>
              </w:rPr>
              <w:t>.</w:t>
            </w:r>
          </w:p>
          <w:p w14:paraId="5B754D69" w14:textId="77777777" w:rsidR="00A237F8" w:rsidRPr="00561908" w:rsidRDefault="00A237F8" w:rsidP="00123B30">
            <w:pPr>
              <w:rPr>
                <w:rFonts w:ascii="Arial" w:eastAsia="Calibri" w:hAnsi="Arial" w:cs="Arial"/>
              </w:rPr>
            </w:pPr>
            <w:r w:rsidRPr="00561908">
              <w:rPr>
                <w:rFonts w:ascii="Arial" w:eastAsia="Calibri" w:hAnsi="Arial" w:cs="Arial"/>
              </w:rPr>
              <w:t xml:space="preserve">Puts forth a framework for best practices: </w:t>
            </w:r>
          </w:p>
          <w:p w14:paraId="3E27A17E" w14:textId="77777777" w:rsidR="00A237F8" w:rsidRPr="00561908" w:rsidRDefault="00A237F8" w:rsidP="00123B30">
            <w:pPr>
              <w:rPr>
                <w:rFonts w:ascii="Arial" w:eastAsia="Calibri" w:hAnsi="Arial" w:cs="Arial"/>
              </w:rPr>
            </w:pPr>
            <w:r w:rsidRPr="5AE65B34">
              <w:rPr>
                <w:rFonts w:ascii="Arial" w:eastAsia="Calibri" w:hAnsi="Arial" w:cs="Arial"/>
              </w:rPr>
              <w:t>“</w:t>
            </w:r>
            <w:r w:rsidRPr="06522E42">
              <w:rPr>
                <w:rFonts w:ascii="Arial" w:eastAsia="Calibri" w:hAnsi="Arial" w:cs="Arial"/>
              </w:rPr>
              <w:t>1. Goal</w:t>
            </w:r>
            <w:r w:rsidRPr="00561908">
              <w:rPr>
                <w:rFonts w:ascii="Arial" w:eastAsia="Calibri" w:hAnsi="Arial" w:cs="Arial"/>
              </w:rPr>
              <w:t xml:space="preserve"> identification</w:t>
            </w:r>
          </w:p>
          <w:p w14:paraId="116B2B47" w14:textId="77777777" w:rsidR="00A237F8" w:rsidRPr="00561908" w:rsidRDefault="00A237F8" w:rsidP="00123B30">
            <w:pPr>
              <w:rPr>
                <w:rFonts w:ascii="Arial" w:eastAsia="Calibri" w:hAnsi="Arial" w:cs="Arial"/>
              </w:rPr>
            </w:pPr>
            <w:r w:rsidRPr="06522E42">
              <w:rPr>
                <w:rFonts w:ascii="Arial" w:eastAsia="Calibri" w:hAnsi="Arial" w:cs="Arial"/>
              </w:rPr>
              <w:t xml:space="preserve">2. </w:t>
            </w:r>
            <w:r w:rsidRPr="00561908">
              <w:rPr>
                <w:rFonts w:ascii="Arial" w:eastAsia="Calibri" w:hAnsi="Arial" w:cs="Arial"/>
              </w:rPr>
              <w:t>Development of objectives (including evaluation of important ecological and non-ecological site factors)</w:t>
            </w:r>
          </w:p>
          <w:p w14:paraId="576807BA" w14:textId="77777777" w:rsidR="00A237F8" w:rsidRPr="00561908" w:rsidRDefault="00A237F8" w:rsidP="00123B30">
            <w:pPr>
              <w:rPr>
                <w:rFonts w:ascii="Arial" w:eastAsia="Calibri" w:hAnsi="Arial" w:cs="Arial"/>
              </w:rPr>
            </w:pPr>
            <w:r w:rsidRPr="06522E42">
              <w:rPr>
                <w:rFonts w:ascii="Arial" w:eastAsia="Calibri" w:hAnsi="Arial" w:cs="Arial"/>
              </w:rPr>
              <w:t>3.</w:t>
            </w:r>
            <w:r w:rsidRPr="783D8208">
              <w:rPr>
                <w:rFonts w:ascii="Arial" w:eastAsia="Calibri" w:hAnsi="Arial" w:cs="Arial"/>
              </w:rPr>
              <w:t xml:space="preserve"> </w:t>
            </w:r>
            <w:r w:rsidRPr="00561908">
              <w:rPr>
                <w:rFonts w:ascii="Arial" w:eastAsia="Calibri" w:hAnsi="Arial" w:cs="Arial"/>
              </w:rPr>
              <w:t>Site prioritization</w:t>
            </w:r>
          </w:p>
          <w:p w14:paraId="4CFD489B" w14:textId="77777777" w:rsidR="00A237F8" w:rsidRPr="00561908" w:rsidRDefault="00A237F8" w:rsidP="00123B30">
            <w:pPr>
              <w:rPr>
                <w:rFonts w:ascii="Arial" w:eastAsia="Calibri" w:hAnsi="Arial" w:cs="Arial"/>
              </w:rPr>
            </w:pPr>
            <w:r w:rsidRPr="783D8208">
              <w:rPr>
                <w:rFonts w:ascii="Arial" w:eastAsia="Calibri" w:hAnsi="Arial" w:cs="Arial"/>
              </w:rPr>
              <w:t xml:space="preserve">4. </w:t>
            </w:r>
            <w:r w:rsidRPr="00561908">
              <w:rPr>
                <w:rFonts w:ascii="Arial" w:eastAsia="Calibri" w:hAnsi="Arial" w:cs="Arial"/>
              </w:rPr>
              <w:t>Development of a site-specific plan</w:t>
            </w:r>
          </w:p>
          <w:p w14:paraId="2BD73A93" w14:textId="77777777" w:rsidR="00A237F8" w:rsidRPr="00561908" w:rsidRDefault="00A237F8" w:rsidP="00123B30">
            <w:pPr>
              <w:rPr>
                <w:rFonts w:ascii="Arial" w:eastAsia="Calibri" w:hAnsi="Arial" w:cs="Arial"/>
              </w:rPr>
            </w:pPr>
            <w:r w:rsidRPr="783D8208">
              <w:rPr>
                <w:rFonts w:ascii="Arial" w:eastAsia="Calibri" w:hAnsi="Arial" w:cs="Arial"/>
              </w:rPr>
              <w:t xml:space="preserve">5. </w:t>
            </w:r>
            <w:r w:rsidRPr="00561908">
              <w:rPr>
                <w:rFonts w:ascii="Arial" w:eastAsia="Calibri" w:hAnsi="Arial" w:cs="Arial"/>
              </w:rPr>
              <w:t>Project implementation</w:t>
            </w:r>
          </w:p>
          <w:p w14:paraId="7AEEF230" w14:textId="77777777" w:rsidR="00A237F8" w:rsidRPr="00561908" w:rsidRDefault="00A237F8" w:rsidP="00123B30">
            <w:pPr>
              <w:rPr>
                <w:rFonts w:ascii="Arial" w:eastAsia="Calibri" w:hAnsi="Arial" w:cs="Arial"/>
              </w:rPr>
            </w:pPr>
            <w:r w:rsidRPr="783D8208">
              <w:rPr>
                <w:rFonts w:ascii="Arial" w:eastAsia="Calibri" w:hAnsi="Arial" w:cs="Arial"/>
              </w:rPr>
              <w:t xml:space="preserve">6. </w:t>
            </w:r>
            <w:proofErr w:type="gramStart"/>
            <w:r w:rsidRPr="00561908">
              <w:rPr>
                <w:rFonts w:ascii="Arial" w:eastAsia="Calibri" w:hAnsi="Arial" w:cs="Arial"/>
              </w:rPr>
              <w:t>Post-implementation</w:t>
            </w:r>
            <w:proofErr w:type="gramEnd"/>
            <w:r w:rsidRPr="00561908">
              <w:rPr>
                <w:rFonts w:ascii="Arial" w:eastAsia="Calibri" w:hAnsi="Arial" w:cs="Arial"/>
              </w:rPr>
              <w:t xml:space="preserve"> monitoring and maintenance</w:t>
            </w:r>
          </w:p>
          <w:p w14:paraId="3BCE2502" w14:textId="77777777" w:rsidR="00A237F8" w:rsidRPr="00561908" w:rsidRDefault="00A237F8" w:rsidP="00123B30">
            <w:pPr>
              <w:rPr>
                <w:rFonts w:ascii="Arial" w:eastAsia="Calibri" w:hAnsi="Arial" w:cs="Arial"/>
              </w:rPr>
            </w:pPr>
            <w:r w:rsidRPr="76283552">
              <w:rPr>
                <w:rFonts w:ascii="Arial" w:eastAsia="Calibri" w:hAnsi="Arial" w:cs="Arial"/>
              </w:rPr>
              <w:t xml:space="preserve">7. </w:t>
            </w:r>
            <w:r w:rsidRPr="00561908">
              <w:rPr>
                <w:rFonts w:ascii="Arial" w:eastAsia="Calibri" w:hAnsi="Arial" w:cs="Arial"/>
              </w:rPr>
              <w:t xml:space="preserve">Adaptive management.” </w:t>
            </w:r>
          </w:p>
          <w:p w14:paraId="6E6E8415" w14:textId="77777777" w:rsidR="00A237F8" w:rsidRPr="00561908" w:rsidRDefault="00A237F8" w:rsidP="00123B30">
            <w:pPr>
              <w:rPr>
                <w:rFonts w:ascii="Arial" w:eastAsia="Calibri" w:hAnsi="Arial" w:cs="Arial"/>
              </w:rPr>
            </w:pPr>
            <w:r w:rsidRPr="00561908">
              <w:rPr>
                <w:rFonts w:ascii="Arial" w:eastAsia="Calibri" w:hAnsi="Arial" w:cs="Arial"/>
              </w:rPr>
              <w:t xml:space="preserve">Discusses both biotic and abiotic aspects of the restoration process, including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removal/reduction, passive vs. active revegetation, hydrology and stream morphology, and soil conditions.</w:t>
            </w:r>
          </w:p>
        </w:tc>
        <w:tc>
          <w:tcPr>
            <w:tcW w:w="2061" w:type="pct"/>
          </w:tcPr>
          <w:p w14:paraId="20CE08F9" w14:textId="77777777" w:rsidR="00A237F8" w:rsidRPr="00561908" w:rsidRDefault="00A237F8" w:rsidP="00123B30">
            <w:pPr>
              <w:rPr>
                <w:rFonts w:ascii="Arial" w:eastAsia="Calibri" w:hAnsi="Arial" w:cs="Arial"/>
              </w:rPr>
            </w:pPr>
            <w:r w:rsidRPr="00561908">
              <w:rPr>
                <w:rFonts w:ascii="Arial" w:eastAsia="Calibri" w:hAnsi="Arial" w:cs="Arial"/>
              </w:rPr>
              <w:t xml:space="preserve">“We suggest that projects will be more successful over the long term by engaging in the process that we have described. Further, </w:t>
            </w:r>
            <w:proofErr w:type="gramStart"/>
            <w:r w:rsidRPr="00561908">
              <w:rPr>
                <w:rFonts w:ascii="Arial" w:eastAsia="Calibri" w:hAnsi="Arial" w:cs="Arial"/>
              </w:rPr>
              <w:t>clear</w:t>
            </w:r>
            <w:proofErr w:type="gramEnd"/>
            <w:r w:rsidRPr="00561908">
              <w:rPr>
                <w:rFonts w:ascii="Arial" w:eastAsia="Calibri" w:hAnsi="Arial" w:cs="Arial"/>
              </w:rPr>
              <w:t xml:space="preserve"> and accessible reporting and documentation of approaches used, successes, failures, etc., can greatly improve future efforts.”</w:t>
            </w:r>
          </w:p>
        </w:tc>
      </w:tr>
      <w:tr w:rsidR="00A237F8" w:rsidRPr="00561908" w14:paraId="64FCC9B1" w14:textId="77777777" w:rsidTr="00123B30">
        <w:tc>
          <w:tcPr>
            <w:tcW w:w="878" w:type="pct"/>
          </w:tcPr>
          <w:p w14:paraId="43C6C474" w14:textId="77777777" w:rsidR="00A237F8" w:rsidRPr="00561908" w:rsidRDefault="00A237F8" w:rsidP="00123B30">
            <w:pPr>
              <w:rPr>
                <w:rFonts w:ascii="Arial" w:eastAsia="Calibri" w:hAnsi="Arial" w:cs="Arial"/>
              </w:rPr>
            </w:pPr>
            <w:proofErr w:type="spellStart"/>
            <w:r>
              <w:rPr>
                <w:rFonts w:ascii="Arial" w:eastAsia="Calibri" w:hAnsi="Arial" w:cs="Arial"/>
              </w:rPr>
              <w:t>Shafroth</w:t>
            </w:r>
            <w:proofErr w:type="spellEnd"/>
            <w:r>
              <w:rPr>
                <w:rFonts w:ascii="Arial" w:eastAsia="Calibri" w:hAnsi="Arial" w:cs="Arial"/>
              </w:rPr>
              <w:t xml:space="preserve"> et al. (eds.) 2010</w:t>
            </w:r>
          </w:p>
        </w:tc>
        <w:tc>
          <w:tcPr>
            <w:tcW w:w="2061" w:type="pct"/>
          </w:tcPr>
          <w:p w14:paraId="3B6B7AEB" w14:textId="77777777" w:rsidR="00A237F8" w:rsidRDefault="00A237F8" w:rsidP="00123B30">
            <w:pPr>
              <w:rPr>
                <w:rFonts w:ascii="Arial" w:eastAsia="Calibri" w:hAnsi="Arial" w:cs="Arial"/>
              </w:rPr>
            </w:pPr>
            <w:r>
              <w:rPr>
                <w:rFonts w:ascii="Arial" w:eastAsia="Calibri" w:hAnsi="Arial" w:cs="Arial"/>
              </w:rPr>
              <w:t xml:space="preserve">Science assessment associated with The </w:t>
            </w:r>
            <w:proofErr w:type="spellStart"/>
            <w:r>
              <w:rPr>
                <w:rFonts w:ascii="Arial" w:eastAsia="Calibri" w:hAnsi="Arial" w:cs="Arial"/>
              </w:rPr>
              <w:t>Saltcedar</w:t>
            </w:r>
            <w:proofErr w:type="spellEnd"/>
            <w:r>
              <w:rPr>
                <w:rFonts w:ascii="Arial" w:eastAsia="Calibri" w:hAnsi="Arial" w:cs="Arial"/>
              </w:rPr>
              <w:t xml:space="preserve"> and Russian Olive Control Demonstration Act of 2006; synthesizes current knowledge on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 xml:space="preserve">and </w:t>
            </w:r>
            <w:r>
              <w:rPr>
                <w:rFonts w:ascii="Arial" w:eastAsia="Calibri" w:hAnsi="Arial" w:cs="Arial"/>
                <w:i/>
                <w:iCs/>
              </w:rPr>
              <w:t xml:space="preserve">Elaeagnus angustifolia </w:t>
            </w:r>
            <w:r>
              <w:rPr>
                <w:rFonts w:ascii="Arial" w:eastAsia="Calibri" w:hAnsi="Arial" w:cs="Arial"/>
              </w:rPr>
              <w:t xml:space="preserve">(Russian olive) control to provide background for applicants seeking public funding for control projects. </w:t>
            </w:r>
          </w:p>
          <w:p w14:paraId="25576EFA" w14:textId="77777777" w:rsidR="00A237F8" w:rsidRDefault="00A237F8" w:rsidP="00123B30">
            <w:pPr>
              <w:rPr>
                <w:rFonts w:ascii="Arial" w:eastAsia="Calibri" w:hAnsi="Arial" w:cs="Arial"/>
              </w:rPr>
            </w:pPr>
            <w:r>
              <w:rPr>
                <w:rFonts w:ascii="Arial" w:eastAsia="Calibri" w:hAnsi="Arial" w:cs="Arial"/>
              </w:rPr>
              <w:t>Main findings:</w:t>
            </w:r>
          </w:p>
          <w:p w14:paraId="26492BFD" w14:textId="77777777" w:rsidR="00A237F8" w:rsidRPr="00532697" w:rsidRDefault="00A237F8" w:rsidP="00123B30">
            <w:r>
              <w:rPr>
                <w:rFonts w:ascii="Arial" w:eastAsia="Calibri" w:hAnsi="Arial" w:cs="Arial"/>
              </w:rPr>
              <w:t xml:space="preserve">Climate is the main limiting factor in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 xml:space="preserve">range expansion, and climate change may allow it to move further northward and to higher elevations. Water availability also has a large effect;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 xml:space="preserve">often replaces native vegetation at sites where groundwater has become </w:t>
            </w:r>
            <w:r>
              <w:rPr>
                <w:rFonts w:ascii="Arial" w:eastAsia="Calibri" w:hAnsi="Arial" w:cs="Arial"/>
              </w:rPr>
              <w:lastRenderedPageBreak/>
              <w:t>insufficient to support native mesic pioneer species.</w:t>
            </w:r>
          </w:p>
          <w:p w14:paraId="6029411B" w14:textId="77777777" w:rsidR="00A237F8" w:rsidRDefault="00A237F8" w:rsidP="00123B30">
            <w:pPr>
              <w:rPr>
                <w:rFonts w:ascii="Arial" w:eastAsia="Calibri" w:hAnsi="Arial" w:cs="Arial"/>
              </w:rPr>
            </w:pPr>
            <w:r>
              <w:rPr>
                <w:rFonts w:ascii="Arial" w:eastAsia="Calibri" w:hAnsi="Arial" w:cs="Arial"/>
              </w:rPr>
              <w:t xml:space="preserve">Future spread of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is likely, as it does not currently occupy its entire theoretical range.</w:t>
            </w:r>
          </w:p>
          <w:p w14:paraId="29B38B7E" w14:textId="77777777" w:rsidR="00A237F8" w:rsidRDefault="00A237F8" w:rsidP="00123B30">
            <w:pPr>
              <w:rPr>
                <w:rFonts w:ascii="Arial" w:eastAsia="Calibri" w:hAnsi="Arial" w:cs="Arial"/>
              </w:rPr>
            </w:pP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control has not been shown to be a feasible method for water salvage.</w:t>
            </w:r>
          </w:p>
          <w:p w14:paraId="67FB1CB7" w14:textId="77777777" w:rsidR="00A237F8" w:rsidRDefault="00A237F8" w:rsidP="00123B30">
            <w:pPr>
              <w:rPr>
                <w:rFonts w:ascii="Arial" w:eastAsia="Calibri" w:hAnsi="Arial" w:cs="Arial"/>
              </w:rPr>
            </w:pPr>
            <w:r>
              <w:rPr>
                <w:rFonts w:ascii="Arial" w:eastAsia="Calibri" w:hAnsi="Arial" w:cs="Arial"/>
              </w:rPr>
              <w:t xml:space="preserve">Mixed </w:t>
            </w:r>
            <w:proofErr w:type="spellStart"/>
            <w:r>
              <w:rPr>
                <w:rFonts w:ascii="Arial" w:eastAsia="Calibri" w:hAnsi="Arial" w:cs="Arial"/>
                <w:i/>
                <w:iCs/>
              </w:rPr>
              <w:t>Tamarix</w:t>
            </w:r>
            <w:proofErr w:type="spellEnd"/>
            <w:r>
              <w:rPr>
                <w:rFonts w:ascii="Arial" w:eastAsia="Calibri" w:hAnsi="Arial" w:cs="Arial"/>
                <w:i/>
                <w:iCs/>
              </w:rPr>
              <w:t>/</w:t>
            </w:r>
            <w:r>
              <w:rPr>
                <w:rFonts w:ascii="Arial" w:eastAsia="Calibri" w:hAnsi="Arial" w:cs="Arial"/>
              </w:rPr>
              <w:t>native stands</w:t>
            </w:r>
            <w:r>
              <w:rPr>
                <w:rFonts w:ascii="Arial" w:eastAsia="Calibri" w:hAnsi="Arial" w:cs="Arial"/>
                <w:i/>
                <w:iCs/>
              </w:rPr>
              <w:t xml:space="preserve"> </w:t>
            </w:r>
            <w:r>
              <w:rPr>
                <w:rFonts w:ascii="Arial" w:eastAsia="Calibri" w:hAnsi="Arial" w:cs="Arial"/>
              </w:rPr>
              <w:t>can be high-value habitat for some wildlife taxa (birds, small mammals) but others (herpetofauna) benefit from control efforts.</w:t>
            </w:r>
          </w:p>
          <w:p w14:paraId="27897E4F" w14:textId="77777777" w:rsidR="00A237F8" w:rsidRDefault="00A237F8" w:rsidP="00123B30">
            <w:pPr>
              <w:rPr>
                <w:rFonts w:ascii="Arial" w:eastAsia="Calibri" w:hAnsi="Arial" w:cs="Arial"/>
              </w:rPr>
            </w:pPr>
            <w:r>
              <w:rPr>
                <w:rFonts w:ascii="Arial" w:eastAsia="Calibri" w:hAnsi="Arial" w:cs="Arial"/>
              </w:rPr>
              <w:t xml:space="preserve">Biological, mechanical, and chemical control, as well as combinations thereof, have all been shown to be effective methods for reducing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abundance; control methods should be tailored to individual site characteristics and follow-up monitoring is necessary.</w:t>
            </w:r>
          </w:p>
          <w:p w14:paraId="60BF70C4" w14:textId="77777777" w:rsidR="00A237F8" w:rsidRPr="003D0FCE" w:rsidRDefault="00A237F8" w:rsidP="00123B30">
            <w:pPr>
              <w:rPr>
                <w:rFonts w:ascii="Arial" w:eastAsia="Calibri" w:hAnsi="Arial" w:cs="Arial"/>
              </w:rPr>
            </w:pPr>
            <w:r>
              <w:rPr>
                <w:rFonts w:ascii="Arial" w:eastAsia="Calibri" w:hAnsi="Arial" w:cs="Arial"/>
              </w:rPr>
              <w:t xml:space="preserve">Dead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biomass resulting from control has some human utility, but its use is rarely economically viable.</w:t>
            </w:r>
          </w:p>
          <w:p w14:paraId="2B5607C4" w14:textId="77777777" w:rsidR="00A237F8" w:rsidRPr="005373F7" w:rsidRDefault="00A237F8" w:rsidP="00123B30">
            <w:pPr>
              <w:rPr>
                <w:rFonts w:ascii="Arial" w:eastAsia="Calibri" w:hAnsi="Arial" w:cs="Arial"/>
              </w:rPr>
            </w:pPr>
            <w:r>
              <w:rPr>
                <w:rFonts w:ascii="Arial" w:eastAsia="Calibri" w:hAnsi="Arial" w:cs="Arial"/>
              </w:rPr>
              <w:t xml:space="preserve">Adaptive management (as described in </w:t>
            </w:r>
            <w:proofErr w:type="spellStart"/>
            <w:r>
              <w:rPr>
                <w:rFonts w:ascii="Arial" w:eastAsia="Calibri" w:hAnsi="Arial" w:cs="Arial"/>
              </w:rPr>
              <w:t>Shafroth</w:t>
            </w:r>
            <w:proofErr w:type="spellEnd"/>
            <w:r>
              <w:rPr>
                <w:rFonts w:ascii="Arial" w:eastAsia="Calibri" w:hAnsi="Arial" w:cs="Arial"/>
              </w:rPr>
              <w:t xml:space="preserve"> et al. 2008) has had successful outcomes for restoration and revegetation following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control. Planning (and funding) must be long-term as there is lag time between implementation and outcomes</w:t>
            </w:r>
          </w:p>
        </w:tc>
        <w:tc>
          <w:tcPr>
            <w:tcW w:w="2061" w:type="pct"/>
          </w:tcPr>
          <w:p w14:paraId="1E74A7A6" w14:textId="77777777" w:rsidR="00A237F8" w:rsidRPr="00A32861" w:rsidRDefault="00A237F8" w:rsidP="00123B30">
            <w:pPr>
              <w:rPr>
                <w:rFonts w:ascii="Arial" w:hAnsi="Arial" w:cs="Arial"/>
              </w:rPr>
            </w:pPr>
            <w:r>
              <w:rPr>
                <w:rFonts w:ascii="Arial" w:eastAsia="Calibri" w:hAnsi="Arial" w:cs="Arial"/>
              </w:rPr>
              <w:lastRenderedPageBreak/>
              <w:t>“</w:t>
            </w:r>
            <w:r w:rsidRPr="00A32861">
              <w:rPr>
                <w:rFonts w:ascii="Arial" w:hAnsi="Arial" w:cs="Arial"/>
              </w:rPr>
              <w:t xml:space="preserve">Recommendations for future </w:t>
            </w:r>
            <w:proofErr w:type="spellStart"/>
            <w:r w:rsidRPr="00A32861">
              <w:rPr>
                <w:rFonts w:ascii="Arial" w:hAnsi="Arial" w:cs="Arial"/>
              </w:rPr>
              <w:t>saltcedar</w:t>
            </w:r>
            <w:proofErr w:type="spellEnd"/>
            <w:r w:rsidRPr="00A32861">
              <w:rPr>
                <w:rFonts w:ascii="Arial" w:hAnsi="Arial" w:cs="Arial"/>
              </w:rPr>
              <w:t xml:space="preserve"> and Russian olive removal and associated restoration efforts include more explicit consideration of (1) the larger spatial context (activities elsewhere in the watershed) and (2) the trade-offs in achieving different restoration objectives. There is a need to develop methods for prioritizing potential restoration sites that are based on the geomorphic and hydroclimatic setting of </w:t>
            </w:r>
            <w:proofErr w:type="gramStart"/>
            <w:r w:rsidRPr="00A32861">
              <w:rPr>
                <w:rFonts w:ascii="Arial" w:hAnsi="Arial" w:cs="Arial"/>
              </w:rPr>
              <w:t>a</w:t>
            </w:r>
            <w:proofErr w:type="gramEnd"/>
            <w:r w:rsidRPr="00A32861">
              <w:rPr>
                <w:rFonts w:ascii="Arial" w:hAnsi="Arial" w:cs="Arial"/>
              </w:rPr>
              <w:t xml:space="preserve"> given site. […] To establish and sustain desired successional trajectories for plant communities after removal of nonnative species, there must be a thorough knowledge of the </w:t>
            </w:r>
            <w:r w:rsidRPr="00A32861">
              <w:rPr>
                <w:rFonts w:ascii="Arial" w:hAnsi="Arial" w:cs="Arial"/>
              </w:rPr>
              <w:lastRenderedPageBreak/>
              <w:t>conditions present in different-aged stands occupied by nonnative species and processes that drive those conditions. It will be especially important to understand the conditions and processes needed to re-establish and sustain native species. Other research needs related to revegetation and restoration include developing a better understanding of how the nonnative species influence site conditions, such as thermal regime, groundwater dynamics, habitat structure, and soil chemistry. More development and testing of active restoration techniques, such as methods and approaches to site remediation and preparation, also would improve restoration success.”</w:t>
            </w:r>
          </w:p>
          <w:p w14:paraId="7C503CAE" w14:textId="77777777" w:rsidR="00A237F8" w:rsidRPr="00FD546D" w:rsidRDefault="00A237F8" w:rsidP="00123B30">
            <w:pPr>
              <w:rPr>
                <w:rFonts w:ascii="Arial" w:eastAsia="Calibri" w:hAnsi="Arial" w:cs="Arial"/>
              </w:rPr>
            </w:pPr>
            <w:r w:rsidRPr="00FD546D">
              <w:rPr>
                <w:rFonts w:ascii="Arial" w:eastAsia="Calibri" w:hAnsi="Arial" w:cs="Arial"/>
              </w:rPr>
              <w:t>Knowledge gaps:</w:t>
            </w:r>
          </w:p>
          <w:p w14:paraId="2D34D3F3" w14:textId="77777777" w:rsidR="00A237F8" w:rsidRPr="00FD546D" w:rsidRDefault="00A237F8" w:rsidP="00123B30">
            <w:pPr>
              <w:rPr>
                <w:rFonts w:ascii="Arial" w:eastAsia="Calibri" w:hAnsi="Arial" w:cs="Arial"/>
              </w:rPr>
            </w:pPr>
            <w:r w:rsidRPr="00FD546D">
              <w:rPr>
                <w:rFonts w:ascii="Arial" w:eastAsia="Calibri" w:hAnsi="Arial" w:cs="Arial"/>
              </w:rPr>
              <w:t xml:space="preserve">Better </w:t>
            </w:r>
            <w:proofErr w:type="spellStart"/>
            <w:r w:rsidRPr="00FD546D">
              <w:rPr>
                <w:rFonts w:ascii="Arial" w:eastAsia="Calibri" w:hAnsi="Arial" w:cs="Arial"/>
                <w:i/>
                <w:iCs/>
              </w:rPr>
              <w:t>Tamarix</w:t>
            </w:r>
            <w:proofErr w:type="spellEnd"/>
            <w:r w:rsidRPr="00FD546D">
              <w:rPr>
                <w:rFonts w:ascii="Arial" w:eastAsia="Calibri" w:hAnsi="Arial" w:cs="Arial"/>
                <w:i/>
                <w:iCs/>
              </w:rPr>
              <w:t xml:space="preserve"> </w:t>
            </w:r>
            <w:r w:rsidRPr="00FD546D">
              <w:rPr>
                <w:rFonts w:ascii="Arial" w:eastAsia="Calibri" w:hAnsi="Arial" w:cs="Arial"/>
              </w:rPr>
              <w:t>distribution modeling, especially over time</w:t>
            </w:r>
          </w:p>
          <w:p w14:paraId="5EB3EB1D" w14:textId="77777777" w:rsidR="00A237F8" w:rsidRPr="00FD546D" w:rsidRDefault="00A237F8" w:rsidP="00123B30">
            <w:pPr>
              <w:rPr>
                <w:rFonts w:ascii="Arial" w:eastAsia="Calibri" w:hAnsi="Arial" w:cs="Arial"/>
              </w:rPr>
            </w:pPr>
            <w:r w:rsidRPr="00FD546D">
              <w:rPr>
                <w:rFonts w:ascii="Arial" w:eastAsia="Calibri" w:hAnsi="Arial" w:cs="Arial"/>
              </w:rPr>
              <w:t>Comprehensive inventory of vegetation in Western riparian areas</w:t>
            </w:r>
          </w:p>
          <w:p w14:paraId="374FAF92" w14:textId="77777777" w:rsidR="00A237F8" w:rsidRDefault="00A237F8" w:rsidP="00123B30">
            <w:pPr>
              <w:rPr>
                <w:rFonts w:ascii="Arial" w:eastAsia="Calibri" w:hAnsi="Arial" w:cs="Arial"/>
              </w:rPr>
            </w:pPr>
            <w:r w:rsidRPr="00FD546D">
              <w:rPr>
                <w:rFonts w:ascii="Arial" w:eastAsia="Calibri" w:hAnsi="Arial" w:cs="Arial"/>
              </w:rPr>
              <w:t>What percentage of</w:t>
            </w:r>
            <w:r>
              <w:rPr>
                <w:rFonts w:ascii="Arial" w:eastAsia="Calibri" w:hAnsi="Arial" w:cs="Arial"/>
              </w:rPr>
              <w:t xml:space="preserve"> riparian areas are robust/vulnerable to </w:t>
            </w:r>
            <w:proofErr w:type="spellStart"/>
            <w:r>
              <w:rPr>
                <w:rFonts w:ascii="Arial" w:eastAsia="Calibri" w:hAnsi="Arial" w:cs="Arial"/>
                <w:i/>
                <w:iCs/>
              </w:rPr>
              <w:t>Tamarix</w:t>
            </w:r>
            <w:proofErr w:type="spellEnd"/>
            <w:r>
              <w:rPr>
                <w:rFonts w:ascii="Arial" w:eastAsia="Calibri" w:hAnsi="Arial" w:cs="Arial"/>
                <w:i/>
                <w:iCs/>
              </w:rPr>
              <w:t xml:space="preserve"> </w:t>
            </w:r>
            <w:r>
              <w:rPr>
                <w:rFonts w:ascii="Arial" w:eastAsia="Calibri" w:hAnsi="Arial" w:cs="Arial"/>
              </w:rPr>
              <w:t>dominance?</w:t>
            </w:r>
          </w:p>
          <w:p w14:paraId="070F4D6F" w14:textId="77777777" w:rsidR="00A237F8" w:rsidRDefault="00A237F8" w:rsidP="00123B30">
            <w:pPr>
              <w:rPr>
                <w:rFonts w:ascii="Arial" w:eastAsia="Calibri" w:hAnsi="Arial" w:cs="Arial"/>
              </w:rPr>
            </w:pPr>
            <w:r>
              <w:rPr>
                <w:rFonts w:ascii="Arial" w:eastAsia="Calibri" w:hAnsi="Arial" w:cs="Arial"/>
              </w:rPr>
              <w:t>Effects of riparian plant community composition on fish populations</w:t>
            </w:r>
          </w:p>
          <w:p w14:paraId="711A432F" w14:textId="77777777" w:rsidR="00A237F8" w:rsidRDefault="00A237F8" w:rsidP="00123B30">
            <w:pPr>
              <w:rPr>
                <w:rFonts w:ascii="Arial" w:eastAsia="Calibri" w:hAnsi="Arial" w:cs="Arial"/>
              </w:rPr>
            </w:pPr>
            <w:r>
              <w:rPr>
                <w:rFonts w:ascii="Arial" w:eastAsia="Calibri" w:hAnsi="Arial" w:cs="Arial"/>
              </w:rPr>
              <w:t xml:space="preserve">Further experimental studies comparing native, </w:t>
            </w:r>
            <w:proofErr w:type="spellStart"/>
            <w:r>
              <w:rPr>
                <w:rFonts w:ascii="Arial" w:eastAsia="Calibri" w:hAnsi="Arial" w:cs="Arial"/>
                <w:i/>
                <w:iCs/>
              </w:rPr>
              <w:t>Tamarix</w:t>
            </w:r>
            <w:proofErr w:type="spellEnd"/>
            <w:r>
              <w:rPr>
                <w:rFonts w:ascii="Arial" w:eastAsia="Calibri" w:hAnsi="Arial" w:cs="Arial"/>
              </w:rPr>
              <w:t xml:space="preserve">-dominated, and restored stands in terms of wildlife habitat quality, including from thermal and structural </w:t>
            </w:r>
            <w:proofErr w:type="gramStart"/>
            <w:r>
              <w:rPr>
                <w:rFonts w:ascii="Arial" w:eastAsia="Calibri" w:hAnsi="Arial" w:cs="Arial"/>
              </w:rPr>
              <w:t>perspectives</w:t>
            </w:r>
            <w:proofErr w:type="gramEnd"/>
          </w:p>
          <w:p w14:paraId="17905431" w14:textId="77777777" w:rsidR="00A237F8" w:rsidRDefault="00A237F8" w:rsidP="00123B30">
            <w:pPr>
              <w:rPr>
                <w:rFonts w:ascii="Arial" w:eastAsia="Calibri" w:hAnsi="Arial" w:cs="Arial"/>
              </w:rPr>
            </w:pPr>
            <w:r>
              <w:rPr>
                <w:rFonts w:ascii="Arial" w:eastAsia="Calibri" w:hAnsi="Arial" w:cs="Arial"/>
              </w:rPr>
              <w:t xml:space="preserve">Comprehensive experiments comparing control </w:t>
            </w:r>
            <w:proofErr w:type="gramStart"/>
            <w:r>
              <w:rPr>
                <w:rFonts w:ascii="Arial" w:eastAsia="Calibri" w:hAnsi="Arial" w:cs="Arial"/>
              </w:rPr>
              <w:t>techniques</w:t>
            </w:r>
            <w:proofErr w:type="gramEnd"/>
          </w:p>
          <w:p w14:paraId="16FAA7DB" w14:textId="77777777" w:rsidR="00A237F8" w:rsidRDefault="00A237F8" w:rsidP="00123B30">
            <w:pPr>
              <w:rPr>
                <w:rFonts w:ascii="Arial" w:eastAsia="Calibri" w:hAnsi="Arial" w:cs="Arial"/>
              </w:rPr>
            </w:pPr>
            <w:r>
              <w:rPr>
                <w:rFonts w:ascii="Arial" w:eastAsia="Calibri" w:hAnsi="Arial" w:cs="Arial"/>
              </w:rPr>
              <w:t>Non-target indirect effects of biocontrol and herbicide use, especially over time</w:t>
            </w:r>
          </w:p>
          <w:p w14:paraId="29063E0C" w14:textId="77777777" w:rsidR="00A237F8" w:rsidRDefault="00A237F8" w:rsidP="00123B30">
            <w:pPr>
              <w:rPr>
                <w:rFonts w:ascii="Arial" w:eastAsia="Calibri" w:hAnsi="Arial" w:cs="Arial"/>
              </w:rPr>
            </w:pPr>
            <w:r>
              <w:rPr>
                <w:rFonts w:ascii="Arial" w:eastAsia="Calibri" w:hAnsi="Arial" w:cs="Arial"/>
              </w:rPr>
              <w:t xml:space="preserve">Characteristics of plants that predict higher/lower vulnerability to </w:t>
            </w:r>
            <w:proofErr w:type="gramStart"/>
            <w:r>
              <w:rPr>
                <w:rFonts w:ascii="Arial" w:eastAsia="Calibri" w:hAnsi="Arial" w:cs="Arial"/>
              </w:rPr>
              <w:t>herbicide</w:t>
            </w:r>
            <w:proofErr w:type="gramEnd"/>
          </w:p>
          <w:p w14:paraId="6F8722C1" w14:textId="77777777" w:rsidR="00A237F8" w:rsidRDefault="00A237F8" w:rsidP="00123B30">
            <w:pPr>
              <w:rPr>
                <w:rFonts w:ascii="Arial" w:eastAsia="Calibri" w:hAnsi="Arial" w:cs="Arial"/>
              </w:rPr>
            </w:pPr>
            <w:r>
              <w:rPr>
                <w:rFonts w:ascii="Arial" w:eastAsia="Calibri" w:hAnsi="Arial" w:cs="Arial"/>
              </w:rPr>
              <w:t>Further testing of potential for use of dead biomass, especially in a community-based context rather than commercial</w:t>
            </w:r>
          </w:p>
          <w:p w14:paraId="2E4D427F" w14:textId="77777777" w:rsidR="00A237F8" w:rsidRPr="00176746" w:rsidRDefault="00A237F8" w:rsidP="00123B30">
            <w:pPr>
              <w:rPr>
                <w:rFonts w:ascii="Arial" w:eastAsia="Calibri" w:hAnsi="Arial" w:cs="Arial"/>
              </w:rPr>
            </w:pPr>
          </w:p>
        </w:tc>
      </w:tr>
      <w:tr w:rsidR="00A237F8" w:rsidRPr="00561908" w14:paraId="65B79CCA" w14:textId="77777777" w:rsidTr="00123B30">
        <w:tc>
          <w:tcPr>
            <w:tcW w:w="878" w:type="pct"/>
          </w:tcPr>
          <w:p w14:paraId="50D2770C" w14:textId="77777777" w:rsidR="00A237F8" w:rsidRPr="00561908" w:rsidRDefault="00A237F8" w:rsidP="00123B30">
            <w:pPr>
              <w:rPr>
                <w:rFonts w:ascii="Arial" w:eastAsia="Calibri" w:hAnsi="Arial" w:cs="Arial"/>
              </w:rPr>
            </w:pPr>
            <w:r w:rsidRPr="00561908">
              <w:rPr>
                <w:rFonts w:ascii="Arial" w:eastAsia="Calibri" w:hAnsi="Arial" w:cs="Arial"/>
              </w:rPr>
              <w:lastRenderedPageBreak/>
              <w:t>Hultine et al. 2010</w:t>
            </w:r>
          </w:p>
        </w:tc>
        <w:tc>
          <w:tcPr>
            <w:tcW w:w="2061" w:type="pct"/>
          </w:tcPr>
          <w:p w14:paraId="352DE8D8" w14:textId="77777777" w:rsidR="00A237F8" w:rsidRPr="00561908" w:rsidRDefault="00A237F8" w:rsidP="00123B30">
            <w:pPr>
              <w:rPr>
                <w:rFonts w:ascii="Arial" w:eastAsia="Calibri" w:hAnsi="Arial" w:cs="Arial"/>
              </w:rPr>
            </w:pPr>
            <w:r w:rsidRPr="00561908">
              <w:rPr>
                <w:rFonts w:ascii="Arial" w:eastAsia="Calibri" w:hAnsi="Arial" w:cs="Arial"/>
              </w:rPr>
              <w:t xml:space="preserve">Framed around identifying areas of possible concern following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Pr>
                <w:rFonts w:ascii="Arial" w:eastAsia="Calibri" w:hAnsi="Arial" w:cs="Arial"/>
              </w:rPr>
              <w:t>bio</w:t>
            </w:r>
            <w:r w:rsidRPr="00561908">
              <w:rPr>
                <w:rFonts w:ascii="Arial" w:eastAsia="Calibri" w:hAnsi="Arial" w:cs="Arial"/>
              </w:rPr>
              <w:t>control</w:t>
            </w:r>
            <w:r>
              <w:rPr>
                <w:rFonts w:ascii="Arial" w:eastAsia="Calibri" w:hAnsi="Arial" w:cs="Arial"/>
              </w:rPr>
              <w:t>.</w:t>
            </w:r>
          </w:p>
          <w:p w14:paraId="3D4A6602" w14:textId="77777777" w:rsidR="00A237F8" w:rsidRPr="00561908" w:rsidRDefault="00A237F8" w:rsidP="00123B30">
            <w:pPr>
              <w:rPr>
                <w:rFonts w:ascii="Arial" w:eastAsia="Calibri" w:hAnsi="Arial" w:cs="Arial"/>
              </w:rPr>
            </w:pPr>
            <w:r w:rsidRPr="00561908">
              <w:rPr>
                <w:rFonts w:ascii="Arial" w:eastAsia="Calibri" w:hAnsi="Arial" w:cs="Arial"/>
              </w:rPr>
              <w:lastRenderedPageBreak/>
              <w:t>Focuses on 5 aspects of ecosystem structure and function:</w:t>
            </w:r>
          </w:p>
          <w:p w14:paraId="6A3835C3" w14:textId="77777777" w:rsidR="00A237F8" w:rsidRPr="00123B30" w:rsidRDefault="00A237F8" w:rsidP="00123B30">
            <w:pPr>
              <w:pStyle w:val="ListParagraph"/>
              <w:numPr>
                <w:ilvl w:val="0"/>
                <w:numId w:val="16"/>
              </w:numPr>
              <w:ind w:left="226" w:hanging="226"/>
              <w:rPr>
                <w:rFonts w:ascii="Arial" w:eastAsia="Calibri" w:hAnsi="Arial" w:cs="Arial"/>
              </w:rPr>
            </w:pPr>
            <w:r w:rsidRPr="00123B30">
              <w:rPr>
                <w:rFonts w:ascii="Arial" w:eastAsia="Calibri" w:hAnsi="Arial" w:cs="Arial"/>
              </w:rPr>
              <w:t>Hydrological processes, especially sediment transport and water salvage</w:t>
            </w:r>
            <w:r>
              <w:rPr>
                <w:rFonts w:ascii="Arial" w:eastAsia="Calibri" w:hAnsi="Arial" w:cs="Arial"/>
              </w:rPr>
              <w:t>.</w:t>
            </w:r>
          </w:p>
          <w:p w14:paraId="09736E48" w14:textId="77777777" w:rsidR="00A237F8" w:rsidRPr="00123B30" w:rsidRDefault="00A237F8" w:rsidP="00123B30">
            <w:pPr>
              <w:pStyle w:val="ListParagraph"/>
              <w:numPr>
                <w:ilvl w:val="0"/>
                <w:numId w:val="16"/>
              </w:numPr>
              <w:ind w:left="226" w:hanging="226"/>
              <w:rPr>
                <w:rFonts w:ascii="Arial" w:eastAsia="Calibri" w:hAnsi="Arial" w:cs="Arial"/>
              </w:rPr>
            </w:pPr>
            <w:r w:rsidRPr="00123B30">
              <w:rPr>
                <w:rFonts w:ascii="Arial" w:eastAsia="Calibri" w:hAnsi="Arial" w:cs="Arial"/>
              </w:rPr>
              <w:t>Carbon and nutrient cycling</w:t>
            </w:r>
            <w:r>
              <w:rPr>
                <w:rFonts w:ascii="Arial" w:eastAsia="Calibri" w:hAnsi="Arial" w:cs="Arial"/>
              </w:rPr>
              <w:t>.</w:t>
            </w:r>
          </w:p>
          <w:p w14:paraId="2C5A7DF9" w14:textId="77777777" w:rsidR="00A237F8" w:rsidRPr="00123B30" w:rsidRDefault="00A237F8" w:rsidP="00123B30">
            <w:pPr>
              <w:pStyle w:val="ListParagraph"/>
              <w:numPr>
                <w:ilvl w:val="0"/>
                <w:numId w:val="16"/>
              </w:numPr>
              <w:ind w:left="226" w:hanging="226"/>
              <w:rPr>
                <w:rFonts w:ascii="Arial" w:eastAsia="Calibri" w:hAnsi="Arial" w:cs="Arial"/>
              </w:rPr>
            </w:pPr>
            <w:r w:rsidRPr="00123B30">
              <w:rPr>
                <w:rFonts w:ascii="Arial" w:eastAsia="Calibri" w:hAnsi="Arial" w:cs="Arial"/>
              </w:rPr>
              <w:t>Plant community composition including future invasion potential</w:t>
            </w:r>
            <w:r>
              <w:rPr>
                <w:rFonts w:ascii="Arial" w:eastAsia="Calibri" w:hAnsi="Arial" w:cs="Arial"/>
              </w:rPr>
              <w:t>.</w:t>
            </w:r>
          </w:p>
          <w:p w14:paraId="269F8DAE" w14:textId="77777777" w:rsidR="00A237F8" w:rsidRPr="00123B30" w:rsidRDefault="00A237F8" w:rsidP="00123B30">
            <w:pPr>
              <w:pStyle w:val="ListParagraph"/>
              <w:numPr>
                <w:ilvl w:val="0"/>
                <w:numId w:val="16"/>
              </w:numPr>
              <w:ind w:left="226" w:hanging="226"/>
              <w:rPr>
                <w:rFonts w:ascii="Arial" w:eastAsia="Calibri" w:hAnsi="Arial" w:cs="Arial"/>
              </w:rPr>
            </w:pPr>
            <w:r w:rsidRPr="00123B30">
              <w:rPr>
                <w:rFonts w:ascii="Arial" w:eastAsia="Calibri" w:hAnsi="Arial" w:cs="Arial"/>
              </w:rPr>
              <w:t>Vegetation structure as wildlife habitat</w:t>
            </w:r>
            <w:r>
              <w:rPr>
                <w:rFonts w:ascii="Arial" w:eastAsia="Calibri" w:hAnsi="Arial" w:cs="Arial"/>
              </w:rPr>
              <w:t>.</w:t>
            </w:r>
          </w:p>
          <w:p w14:paraId="520B05FB" w14:textId="77777777" w:rsidR="00A237F8" w:rsidRPr="00123B30" w:rsidRDefault="00A237F8" w:rsidP="00123B30">
            <w:pPr>
              <w:pStyle w:val="ListParagraph"/>
              <w:numPr>
                <w:ilvl w:val="0"/>
                <w:numId w:val="16"/>
              </w:numPr>
              <w:ind w:left="226" w:hanging="226"/>
              <w:rPr>
                <w:rFonts w:ascii="Arial" w:eastAsia="Calibri" w:hAnsi="Arial" w:cs="Arial"/>
              </w:rPr>
            </w:pPr>
            <w:r w:rsidRPr="00123B30">
              <w:rPr>
                <w:rFonts w:ascii="Arial" w:eastAsia="Calibri" w:hAnsi="Arial" w:cs="Arial"/>
              </w:rPr>
              <w:t>Recreation and tourism</w:t>
            </w:r>
          </w:p>
          <w:p w14:paraId="0BF149C0" w14:textId="77777777" w:rsidR="00A237F8" w:rsidRPr="00561908" w:rsidRDefault="00A237F8" w:rsidP="00123B30">
            <w:pPr>
              <w:rPr>
                <w:rFonts w:ascii="Arial" w:eastAsia="Calibri" w:hAnsi="Arial" w:cs="Arial"/>
              </w:rPr>
            </w:pPr>
            <w:r w:rsidRPr="00561908">
              <w:rPr>
                <w:rFonts w:ascii="Arial" w:eastAsia="Calibri" w:hAnsi="Arial" w:cs="Arial"/>
              </w:rPr>
              <w:t xml:space="preserve">First review to focus primarily on biocontrol via </w:t>
            </w:r>
            <w:proofErr w:type="spellStart"/>
            <w:r w:rsidRPr="00561908">
              <w:rPr>
                <w:rFonts w:ascii="Arial" w:eastAsia="Calibri" w:hAnsi="Arial" w:cs="Arial"/>
                <w:i/>
                <w:iCs/>
              </w:rPr>
              <w:t>Diorhabda</w:t>
            </w:r>
            <w:proofErr w:type="spellEnd"/>
            <w:r w:rsidRPr="00561908">
              <w:rPr>
                <w:rFonts w:ascii="Arial" w:eastAsia="Calibri" w:hAnsi="Arial" w:cs="Arial"/>
                <w:i/>
                <w:iCs/>
              </w:rPr>
              <w:t xml:space="preserve"> </w:t>
            </w:r>
            <w:r w:rsidRPr="00561908">
              <w:rPr>
                <w:rFonts w:ascii="Arial" w:eastAsia="Calibri" w:hAnsi="Arial" w:cs="Arial"/>
              </w:rPr>
              <w:t xml:space="preserve">spp. </w:t>
            </w:r>
          </w:p>
          <w:p w14:paraId="42A6FCE1" w14:textId="77777777" w:rsidR="00A237F8" w:rsidRPr="00561908" w:rsidRDefault="00A237F8" w:rsidP="00123B30">
            <w:pPr>
              <w:rPr>
                <w:rFonts w:ascii="Arial" w:eastAsia="Calibri" w:hAnsi="Arial" w:cs="Arial"/>
              </w:rPr>
            </w:pPr>
            <w:r w:rsidRPr="00561908">
              <w:rPr>
                <w:rFonts w:ascii="Arial" w:eastAsia="Calibri" w:hAnsi="Arial" w:cs="Arial"/>
              </w:rPr>
              <w:t xml:space="preserve">Reports that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reduction remains a priority for management but that traditional control methods have become less desirable due to associated costs, possibility of failure, and collateral damage to desirable species. </w:t>
            </w:r>
          </w:p>
          <w:p w14:paraId="1B400B13" w14:textId="77777777" w:rsidR="00A237F8" w:rsidRPr="00561908" w:rsidRDefault="00A237F8" w:rsidP="00123B30">
            <w:pPr>
              <w:rPr>
                <w:rFonts w:ascii="Arial" w:eastAsia="Calibri" w:hAnsi="Arial" w:cs="Arial"/>
              </w:rPr>
            </w:pPr>
            <w:r w:rsidRPr="00561908">
              <w:rPr>
                <w:rFonts w:ascii="Arial" w:eastAsia="Calibri" w:hAnsi="Arial" w:cs="Arial"/>
              </w:rPr>
              <w:t xml:space="preserve">Reports that biocontrol shows promise for reducing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cover but urges caution given the potential for unintended consequences. </w:t>
            </w:r>
          </w:p>
          <w:p w14:paraId="02F58863" w14:textId="77777777" w:rsidR="00A237F8" w:rsidRPr="00561908" w:rsidRDefault="00A237F8" w:rsidP="00123B30">
            <w:pPr>
              <w:rPr>
                <w:rFonts w:ascii="Arial" w:eastAsia="Calibri" w:hAnsi="Arial" w:cs="Arial"/>
              </w:rPr>
            </w:pPr>
            <w:r w:rsidRPr="00561908">
              <w:rPr>
                <w:rFonts w:ascii="Arial" w:eastAsia="Calibri" w:hAnsi="Arial" w:cs="Arial"/>
              </w:rPr>
              <w:t xml:space="preserve">Discusses the biology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defoliation cycles as well as the effects on bird habitat quality. </w:t>
            </w:r>
          </w:p>
          <w:p w14:paraId="207DDF16" w14:textId="77777777" w:rsidR="00A237F8" w:rsidRPr="00561908" w:rsidRDefault="00A237F8" w:rsidP="00123B30">
            <w:pPr>
              <w:rPr>
                <w:rFonts w:ascii="Arial" w:eastAsia="Calibri" w:hAnsi="Arial" w:cs="Arial"/>
              </w:rPr>
            </w:pPr>
            <w:r w:rsidRPr="00561908">
              <w:rPr>
                <w:rFonts w:ascii="Arial" w:eastAsia="Calibri" w:hAnsi="Arial" w:cs="Arial"/>
              </w:rPr>
              <w:t xml:space="preserve">Discusses the use of remote sensing to track defoliation events. </w:t>
            </w:r>
          </w:p>
          <w:p w14:paraId="17E40D6A" w14:textId="77777777" w:rsidR="00A237F8" w:rsidRPr="00561908" w:rsidRDefault="00A237F8" w:rsidP="00123B30">
            <w:pPr>
              <w:rPr>
                <w:rFonts w:ascii="Arial" w:eastAsia="Calibri" w:hAnsi="Arial" w:cs="Arial"/>
              </w:rPr>
            </w:pPr>
            <w:r w:rsidRPr="00561908">
              <w:rPr>
                <w:rFonts w:ascii="Arial" w:eastAsia="Calibri" w:hAnsi="Arial" w:cs="Arial"/>
              </w:rPr>
              <w:t xml:space="preserve">Stresses the importance of planning, adaptive management, and communication between managers, researchers, monitoring agencies, stakeholders, and the </w:t>
            </w:r>
            <w:proofErr w:type="gramStart"/>
            <w:r w:rsidRPr="00561908">
              <w:rPr>
                <w:rFonts w:ascii="Arial" w:eastAsia="Calibri" w:hAnsi="Arial" w:cs="Arial"/>
              </w:rPr>
              <w:t>general public</w:t>
            </w:r>
            <w:proofErr w:type="gramEnd"/>
            <w:r w:rsidRPr="00561908">
              <w:rPr>
                <w:rFonts w:ascii="Arial" w:eastAsia="Calibri" w:hAnsi="Arial" w:cs="Arial"/>
              </w:rPr>
              <w:t>.</w:t>
            </w:r>
          </w:p>
        </w:tc>
        <w:tc>
          <w:tcPr>
            <w:tcW w:w="2061" w:type="pct"/>
          </w:tcPr>
          <w:p w14:paraId="22E34B64" w14:textId="77777777" w:rsidR="00A237F8" w:rsidRPr="00561908" w:rsidRDefault="00A237F8" w:rsidP="00123B30">
            <w:pPr>
              <w:rPr>
                <w:rFonts w:ascii="Arial" w:eastAsia="Calibri" w:hAnsi="Arial" w:cs="Arial"/>
              </w:rPr>
            </w:pPr>
            <w:r w:rsidRPr="00561908">
              <w:rPr>
                <w:rFonts w:ascii="Arial" w:eastAsia="Calibri" w:hAnsi="Arial" w:cs="Arial"/>
              </w:rPr>
              <w:lastRenderedPageBreak/>
              <w:t xml:space="preserve">“We strongly encourage intensive monitoring of ecosystem services in these riparian zones, including </w:t>
            </w:r>
            <w:r w:rsidRPr="00561908">
              <w:rPr>
                <w:rFonts w:ascii="Arial" w:eastAsia="Calibri" w:hAnsi="Arial" w:cs="Arial"/>
              </w:rPr>
              <w:lastRenderedPageBreak/>
              <w:t>sediment and nutrient export, water usage, distribution of noxious weeds, habitat quality, and socioeconomic factors, to improve remediation efforts in tamarisk-invaded riparian ecosystems.”</w:t>
            </w:r>
          </w:p>
          <w:p w14:paraId="04CFF16E" w14:textId="77777777" w:rsidR="00A237F8" w:rsidRPr="00561908" w:rsidRDefault="00A237F8" w:rsidP="00123B30">
            <w:pPr>
              <w:rPr>
                <w:rFonts w:ascii="Arial" w:eastAsia="Calibri" w:hAnsi="Arial" w:cs="Arial"/>
              </w:rPr>
            </w:pPr>
          </w:p>
          <w:p w14:paraId="386DC1FB" w14:textId="77777777" w:rsidR="00A237F8" w:rsidRPr="00561908" w:rsidRDefault="00A237F8" w:rsidP="00123B30">
            <w:pPr>
              <w:rPr>
                <w:rFonts w:ascii="Arial" w:eastAsia="Calibri" w:hAnsi="Arial" w:cs="Arial"/>
              </w:rPr>
            </w:pPr>
            <w:r w:rsidRPr="00561908">
              <w:rPr>
                <w:rFonts w:ascii="Arial" w:eastAsia="Calibri" w:hAnsi="Arial" w:cs="Arial"/>
              </w:rPr>
              <w:t>“Restoration and future control efforts would benefit from the timely establishment of a comprehensive policy and research framework to address potential impacts of biocontrol agents, through collaborations with scientists, land managers, and stakeholders.”</w:t>
            </w:r>
          </w:p>
        </w:tc>
      </w:tr>
      <w:tr w:rsidR="00A237F8" w:rsidRPr="00561908" w14:paraId="2D64883E" w14:textId="77777777" w:rsidTr="00123B30">
        <w:tc>
          <w:tcPr>
            <w:tcW w:w="878" w:type="pct"/>
          </w:tcPr>
          <w:p w14:paraId="5006CCB8" w14:textId="77777777" w:rsidR="00A237F8" w:rsidRPr="00561908" w:rsidRDefault="00A237F8" w:rsidP="00123B30">
            <w:pPr>
              <w:rPr>
                <w:rFonts w:ascii="Arial" w:eastAsia="Calibri" w:hAnsi="Arial" w:cs="Arial"/>
              </w:rPr>
            </w:pPr>
            <w:r w:rsidRPr="00561908">
              <w:rPr>
                <w:rFonts w:ascii="Arial" w:eastAsia="Calibri" w:hAnsi="Arial" w:cs="Arial"/>
              </w:rPr>
              <w:lastRenderedPageBreak/>
              <w:t>Sher and Quigley (eds.) 2013</w:t>
            </w:r>
          </w:p>
        </w:tc>
        <w:tc>
          <w:tcPr>
            <w:tcW w:w="2061" w:type="pct"/>
          </w:tcPr>
          <w:p w14:paraId="2FE898CB" w14:textId="77777777" w:rsidR="00A237F8" w:rsidRPr="00561908" w:rsidRDefault="00A237F8" w:rsidP="00123B30">
            <w:pPr>
              <w:rPr>
                <w:rFonts w:ascii="Arial" w:eastAsia="Calibri" w:hAnsi="Arial" w:cs="Arial"/>
              </w:rPr>
            </w:pPr>
            <w:r w:rsidRPr="00561908">
              <w:rPr>
                <w:rFonts w:ascii="Arial" w:eastAsia="Calibri" w:hAnsi="Arial" w:cs="Arial"/>
              </w:rPr>
              <w:t xml:space="preserve">Summarizes the state of overall knowledge on the history, biology, ecology, and control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in North America. </w:t>
            </w:r>
          </w:p>
          <w:p w14:paraId="093A7772" w14:textId="77777777" w:rsidR="00A237F8" w:rsidRPr="00561908" w:rsidRDefault="00A237F8" w:rsidP="00123B30">
            <w:pPr>
              <w:rPr>
                <w:rFonts w:ascii="Arial" w:eastAsia="Calibri" w:hAnsi="Arial" w:cs="Arial"/>
              </w:rPr>
            </w:pPr>
            <w:r w:rsidRPr="00561908">
              <w:rPr>
                <w:rFonts w:ascii="Arial" w:eastAsia="Calibri" w:hAnsi="Arial" w:cs="Arial"/>
              </w:rPr>
              <w:t xml:space="preserve">Discusses effects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 xml:space="preserve">invasion and control on biotic and abiotic aspects of the ecosystem including wildlife habitat suitability, hydrology, water use, competition, etc. </w:t>
            </w:r>
          </w:p>
          <w:p w14:paraId="2304FFC5" w14:textId="77777777" w:rsidR="00A237F8" w:rsidRPr="00561908" w:rsidRDefault="00A237F8" w:rsidP="00123B30">
            <w:pPr>
              <w:rPr>
                <w:rFonts w:ascii="Arial" w:eastAsia="Calibri" w:hAnsi="Arial" w:cs="Arial"/>
              </w:rPr>
            </w:pPr>
            <w:r w:rsidRPr="00561908">
              <w:rPr>
                <w:rFonts w:ascii="Arial" w:eastAsia="Calibri" w:hAnsi="Arial" w:cs="Arial"/>
              </w:rPr>
              <w:t xml:space="preserve">Includes a history of the biocontrol program. </w:t>
            </w:r>
          </w:p>
          <w:p w14:paraId="11D4FA9E" w14:textId="77777777" w:rsidR="00A237F8" w:rsidRPr="00561908" w:rsidRDefault="00A237F8" w:rsidP="00123B30">
            <w:pPr>
              <w:rPr>
                <w:rFonts w:ascii="Arial" w:eastAsia="Calibri" w:hAnsi="Arial" w:cs="Arial"/>
              </w:rPr>
            </w:pPr>
            <w:r w:rsidRPr="00561908">
              <w:rPr>
                <w:rFonts w:ascii="Arial" w:eastAsia="Calibri" w:hAnsi="Arial" w:cs="Arial"/>
              </w:rPr>
              <w:t xml:space="preserve">Discusses the shifts in human attitudes towards </w:t>
            </w:r>
            <w:proofErr w:type="spellStart"/>
            <w:r w:rsidRPr="00561908">
              <w:rPr>
                <w:rFonts w:ascii="Arial" w:eastAsia="Calibri" w:hAnsi="Arial" w:cs="Arial"/>
                <w:i/>
                <w:iCs/>
              </w:rPr>
              <w:t>Tamarix</w:t>
            </w:r>
            <w:proofErr w:type="spellEnd"/>
            <w:r w:rsidRPr="00561908">
              <w:rPr>
                <w:rFonts w:ascii="Arial" w:eastAsia="Calibri" w:hAnsi="Arial" w:cs="Arial"/>
              </w:rPr>
              <w:t xml:space="preserve"> in science and practice, including its possible benefits. </w:t>
            </w:r>
          </w:p>
          <w:p w14:paraId="329F2EE7" w14:textId="77777777" w:rsidR="00A237F8" w:rsidRPr="00561908" w:rsidRDefault="00A237F8" w:rsidP="00123B30">
            <w:pPr>
              <w:rPr>
                <w:rFonts w:ascii="Arial" w:eastAsia="Calibri" w:hAnsi="Arial" w:cs="Arial"/>
              </w:rPr>
            </w:pPr>
            <w:r w:rsidRPr="00561908">
              <w:rPr>
                <w:rFonts w:ascii="Arial" w:eastAsia="Calibri" w:hAnsi="Arial" w:cs="Arial"/>
              </w:rPr>
              <w:lastRenderedPageBreak/>
              <w:t xml:space="preserve">Puts forth the framework of whether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is a driver or passenger of ecological change.</w:t>
            </w:r>
          </w:p>
        </w:tc>
        <w:tc>
          <w:tcPr>
            <w:tcW w:w="2061" w:type="pct"/>
          </w:tcPr>
          <w:p w14:paraId="1FD733E7" w14:textId="77777777" w:rsidR="00A237F8" w:rsidRPr="00561908" w:rsidRDefault="00A237F8" w:rsidP="00123B30">
            <w:pPr>
              <w:rPr>
                <w:rFonts w:ascii="Arial" w:eastAsia="Calibri" w:hAnsi="Arial" w:cs="Arial"/>
              </w:rPr>
            </w:pPr>
            <w:r w:rsidRPr="00561908">
              <w:rPr>
                <w:rFonts w:ascii="Arial" w:eastAsia="Calibri" w:hAnsi="Arial" w:cs="Arial"/>
              </w:rPr>
              <w:lastRenderedPageBreak/>
              <w:t xml:space="preserve">Main question: How does the ecosystem respond to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control?</w:t>
            </w:r>
          </w:p>
          <w:p w14:paraId="1DEEF28C" w14:textId="77777777" w:rsidR="00A237F8" w:rsidRPr="00561908" w:rsidRDefault="00A237F8" w:rsidP="00123B30">
            <w:pPr>
              <w:rPr>
                <w:rFonts w:ascii="Arial" w:eastAsia="Calibri" w:hAnsi="Arial" w:cs="Arial"/>
              </w:rPr>
            </w:pPr>
          </w:p>
          <w:p w14:paraId="72DB9F3A" w14:textId="77777777" w:rsidR="00A237F8" w:rsidRPr="00561908" w:rsidRDefault="00A237F8" w:rsidP="00123B30">
            <w:pPr>
              <w:rPr>
                <w:rFonts w:ascii="Arial" w:eastAsia="Calibri" w:hAnsi="Arial" w:cs="Arial"/>
              </w:rPr>
            </w:pPr>
            <w:r w:rsidRPr="00561908">
              <w:rPr>
                <w:rFonts w:ascii="Arial" w:eastAsia="Calibri" w:hAnsi="Arial" w:cs="Arial"/>
              </w:rPr>
              <w:t>Specific knowledge gaps:</w:t>
            </w:r>
          </w:p>
          <w:p w14:paraId="6E786103"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Fine-scale inventories and suitability models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distribution</w:t>
            </w:r>
          </w:p>
          <w:p w14:paraId="1B2EB47E"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Understory response to biocontrol</w:t>
            </w:r>
          </w:p>
          <w:p w14:paraId="69CEF7C0"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Ecology and genetics of </w:t>
            </w:r>
            <w:proofErr w:type="spellStart"/>
            <w:r w:rsidRPr="00561908">
              <w:rPr>
                <w:rFonts w:ascii="Arial" w:eastAsia="Calibri" w:hAnsi="Arial" w:cs="Arial"/>
                <w:i/>
                <w:iCs/>
              </w:rPr>
              <w:t>Diorhabda</w:t>
            </w:r>
            <w:proofErr w:type="spellEnd"/>
          </w:p>
          <w:p w14:paraId="44036082"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Wildlife response to control</w:t>
            </w:r>
          </w:p>
          <w:p w14:paraId="509A3A4F"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Ecology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as wildlife habitat</w:t>
            </w:r>
          </w:p>
          <w:p w14:paraId="47BBD5CB"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Impacts of various hydrologic characteristics on forest structure</w:t>
            </w:r>
          </w:p>
          <w:p w14:paraId="0C05B892"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Potential for passive revegetation via managed flows</w:t>
            </w:r>
          </w:p>
          <w:p w14:paraId="52867B20" w14:textId="77777777" w:rsidR="00A237F8" w:rsidRPr="00561908" w:rsidRDefault="00A237F8" w:rsidP="00123B30">
            <w:pPr>
              <w:rPr>
                <w:rFonts w:ascii="Arial" w:eastAsia="Calibri" w:hAnsi="Arial" w:cs="Arial"/>
              </w:rPr>
            </w:pPr>
            <w:r>
              <w:rPr>
                <w:rFonts w:ascii="Arial" w:eastAsia="Calibri" w:hAnsi="Arial" w:cs="Arial"/>
              </w:rPr>
              <w:lastRenderedPageBreak/>
              <w:t>-</w:t>
            </w:r>
            <w:r w:rsidRPr="00561908">
              <w:rPr>
                <w:rFonts w:ascii="Arial" w:eastAsia="Calibri" w:hAnsi="Arial" w:cs="Arial"/>
              </w:rPr>
              <w:t>Does revegetation with xeric species promote water salvage?</w:t>
            </w:r>
          </w:p>
          <w:p w14:paraId="0C2E5C69"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Response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to fire, especially when affected by biocontrol</w:t>
            </w:r>
          </w:p>
          <w:p w14:paraId="699BDD31"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Impact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control on soil properties</w:t>
            </w:r>
          </w:p>
          <w:p w14:paraId="1B8191B8"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Effects of dark septate endophytes on </w:t>
            </w:r>
            <w:proofErr w:type="spellStart"/>
            <w:r w:rsidRPr="00561908">
              <w:rPr>
                <w:rFonts w:ascii="Arial" w:eastAsia="Calibri" w:hAnsi="Arial" w:cs="Arial"/>
                <w:i/>
                <w:iCs/>
              </w:rPr>
              <w:t>Tamarix</w:t>
            </w:r>
            <w:proofErr w:type="spellEnd"/>
          </w:p>
          <w:p w14:paraId="54C00F6B"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Ecology and invasion potential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proofErr w:type="spellStart"/>
            <w:r w:rsidRPr="00561908">
              <w:rPr>
                <w:rFonts w:ascii="Arial" w:eastAsia="Calibri" w:hAnsi="Arial" w:cs="Arial"/>
                <w:i/>
                <w:iCs/>
              </w:rPr>
              <w:t>aphylla</w:t>
            </w:r>
            <w:proofErr w:type="spellEnd"/>
          </w:p>
          <w:p w14:paraId="671C51F6"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Methods for data collection by land managers and collaboration with scientists</w:t>
            </w:r>
          </w:p>
          <w:p w14:paraId="44813F41" w14:textId="77777777" w:rsidR="00A237F8" w:rsidRPr="00561908" w:rsidRDefault="00A237F8" w:rsidP="00123B30">
            <w:pPr>
              <w:rPr>
                <w:rFonts w:ascii="Arial" w:eastAsia="Calibri" w:hAnsi="Arial" w:cs="Arial"/>
              </w:rPr>
            </w:pPr>
            <w:r>
              <w:rPr>
                <w:rFonts w:ascii="Arial" w:eastAsia="Calibri" w:hAnsi="Arial" w:cs="Arial"/>
              </w:rPr>
              <w:t>-</w:t>
            </w:r>
            <w:r w:rsidRPr="00561908">
              <w:rPr>
                <w:rFonts w:ascii="Arial" w:eastAsia="Calibri" w:hAnsi="Arial" w:cs="Arial"/>
              </w:rPr>
              <w:t xml:space="preserve">GIS modeling of </w:t>
            </w:r>
            <w:proofErr w:type="spellStart"/>
            <w:r w:rsidRPr="00561908">
              <w:rPr>
                <w:rFonts w:ascii="Arial" w:eastAsia="Calibri" w:hAnsi="Arial" w:cs="Arial"/>
                <w:i/>
                <w:iCs/>
              </w:rPr>
              <w:t>Tamarix</w:t>
            </w:r>
            <w:proofErr w:type="spellEnd"/>
            <w:r w:rsidRPr="00561908">
              <w:rPr>
                <w:rFonts w:ascii="Arial" w:eastAsia="Calibri" w:hAnsi="Arial" w:cs="Arial"/>
                <w:i/>
                <w:iCs/>
              </w:rPr>
              <w:t xml:space="preserve"> </w:t>
            </w:r>
            <w:r w:rsidRPr="00561908">
              <w:rPr>
                <w:rFonts w:ascii="Arial" w:eastAsia="Calibri" w:hAnsi="Arial" w:cs="Arial"/>
              </w:rPr>
              <w:t>and the vegetation that replaces it</w:t>
            </w:r>
          </w:p>
        </w:tc>
      </w:tr>
      <w:tr w:rsidR="00A237F8" w:rsidRPr="00561908" w14:paraId="7143DC73" w14:textId="77777777" w:rsidTr="00123B30">
        <w:tc>
          <w:tcPr>
            <w:tcW w:w="878" w:type="pct"/>
          </w:tcPr>
          <w:p w14:paraId="04CB6E05" w14:textId="77777777" w:rsidR="00A237F8" w:rsidRPr="00561908" w:rsidRDefault="00A237F8" w:rsidP="00123B30">
            <w:pPr>
              <w:rPr>
                <w:rFonts w:ascii="Arial" w:eastAsia="Calibri" w:hAnsi="Arial" w:cs="Arial"/>
              </w:rPr>
            </w:pPr>
            <w:r w:rsidRPr="00561908">
              <w:rPr>
                <w:rFonts w:ascii="Arial" w:eastAsia="Calibri" w:hAnsi="Arial" w:cs="Arial"/>
              </w:rPr>
              <w:lastRenderedPageBreak/>
              <w:t>Bean and Dudley 2018</w:t>
            </w:r>
          </w:p>
        </w:tc>
        <w:tc>
          <w:tcPr>
            <w:tcW w:w="2061" w:type="pct"/>
          </w:tcPr>
          <w:p w14:paraId="0B4871D6" w14:textId="77777777" w:rsidR="00A237F8" w:rsidRPr="00561908" w:rsidRDefault="00A237F8" w:rsidP="00123B30">
            <w:pPr>
              <w:rPr>
                <w:rFonts w:ascii="Arial" w:eastAsia="Calibri" w:hAnsi="Arial" w:cs="Arial"/>
              </w:rPr>
            </w:pPr>
            <w:r w:rsidRPr="00561908">
              <w:rPr>
                <w:rFonts w:ascii="Arial" w:eastAsia="Calibri" w:hAnsi="Arial" w:cs="Arial"/>
              </w:rPr>
              <w:t xml:space="preserve">Summarizes developments in the biocontrol program in the context of controversy and public perceptions. </w:t>
            </w:r>
          </w:p>
          <w:p w14:paraId="7543E52C" w14:textId="77777777" w:rsidR="00A237F8" w:rsidRPr="00561908" w:rsidRDefault="00A237F8" w:rsidP="00123B30">
            <w:pPr>
              <w:rPr>
                <w:rFonts w:ascii="Arial" w:eastAsia="Calibri" w:hAnsi="Arial" w:cs="Arial"/>
              </w:rPr>
            </w:pPr>
            <w:r w:rsidRPr="00561908">
              <w:rPr>
                <w:rFonts w:ascii="Arial" w:eastAsia="Calibri" w:hAnsi="Arial" w:cs="Arial"/>
              </w:rPr>
              <w:t xml:space="preserve">Discusses the use of remote sensing for monitoring as well as target and non-target effects of biocontrol. </w:t>
            </w:r>
          </w:p>
          <w:p w14:paraId="48BBBF4C" w14:textId="77777777" w:rsidR="00A237F8" w:rsidRPr="00561908" w:rsidRDefault="00A237F8" w:rsidP="00123B30">
            <w:pPr>
              <w:rPr>
                <w:rFonts w:ascii="Arial" w:eastAsia="Calibri" w:hAnsi="Arial" w:cs="Arial"/>
              </w:rPr>
            </w:pPr>
            <w:r w:rsidRPr="00561908">
              <w:rPr>
                <w:rFonts w:ascii="Arial" w:eastAsia="Calibri" w:hAnsi="Arial" w:cs="Arial"/>
              </w:rPr>
              <w:t xml:space="preserve">Argues that the literature does not suggest that biocontrol has had a measured detrimental effect on SWFL populations despite perceptions to the </w:t>
            </w:r>
            <w:proofErr w:type="gramStart"/>
            <w:r w:rsidRPr="00561908">
              <w:rPr>
                <w:rFonts w:ascii="Arial" w:eastAsia="Calibri" w:hAnsi="Arial" w:cs="Arial"/>
              </w:rPr>
              <w:t>contrary</w:t>
            </w:r>
            <w:proofErr w:type="gramEnd"/>
            <w:r w:rsidRPr="00561908">
              <w:rPr>
                <w:rFonts w:ascii="Arial" w:eastAsia="Calibri" w:hAnsi="Arial" w:cs="Arial"/>
              </w:rPr>
              <w:t xml:space="preserve"> </w:t>
            </w:r>
          </w:p>
          <w:p w14:paraId="65A69941" w14:textId="77777777" w:rsidR="00A237F8" w:rsidRPr="00561908" w:rsidRDefault="00A237F8" w:rsidP="00123B30">
            <w:pPr>
              <w:rPr>
                <w:rFonts w:ascii="Arial" w:eastAsia="Calibri" w:hAnsi="Arial" w:cs="Arial"/>
              </w:rPr>
            </w:pPr>
            <w:r w:rsidRPr="00561908">
              <w:rPr>
                <w:rFonts w:ascii="Arial" w:eastAsia="Calibri" w:hAnsi="Arial" w:cs="Arial"/>
              </w:rPr>
              <w:t xml:space="preserve">Predicts that effects can still be positive. </w:t>
            </w:r>
          </w:p>
          <w:p w14:paraId="435239DD" w14:textId="77777777" w:rsidR="00A237F8" w:rsidRPr="00561908" w:rsidRDefault="00A237F8" w:rsidP="00123B30">
            <w:pPr>
              <w:rPr>
                <w:rFonts w:ascii="Arial" w:eastAsia="Calibri" w:hAnsi="Arial" w:cs="Arial"/>
              </w:rPr>
            </w:pPr>
            <w:r w:rsidRPr="00561908">
              <w:rPr>
                <w:rFonts w:ascii="Arial" w:eastAsia="Calibri" w:hAnsi="Arial" w:cs="Arial"/>
              </w:rPr>
              <w:t xml:space="preserve">Stresses the importance of continued monitoring. </w:t>
            </w:r>
          </w:p>
        </w:tc>
        <w:tc>
          <w:tcPr>
            <w:tcW w:w="2061" w:type="pct"/>
          </w:tcPr>
          <w:p w14:paraId="4482B8AA" w14:textId="77777777" w:rsidR="00A237F8" w:rsidRPr="00561908" w:rsidRDefault="00A237F8" w:rsidP="00123B30">
            <w:pPr>
              <w:rPr>
                <w:rFonts w:ascii="Arial" w:eastAsia="Calibri" w:hAnsi="Arial" w:cs="Arial"/>
              </w:rPr>
            </w:pPr>
            <w:r w:rsidRPr="00561908">
              <w:rPr>
                <w:rFonts w:ascii="Arial" w:eastAsia="Calibri" w:hAnsi="Arial" w:cs="Arial"/>
              </w:rPr>
              <w:t xml:space="preserve">“There has been little published on avian responses to </w:t>
            </w:r>
            <w:proofErr w:type="spellStart"/>
            <w:r w:rsidRPr="00561908">
              <w:rPr>
                <w:rFonts w:ascii="Arial" w:eastAsia="Calibri" w:hAnsi="Arial" w:cs="Arial"/>
                <w:i/>
                <w:iCs/>
              </w:rPr>
              <w:t>Tamarix</w:t>
            </w:r>
            <w:proofErr w:type="spellEnd"/>
            <w:r w:rsidRPr="00561908">
              <w:rPr>
                <w:rFonts w:ascii="Arial" w:eastAsia="Calibri" w:hAnsi="Arial" w:cs="Arial"/>
              </w:rPr>
              <w:t xml:space="preserve"> </w:t>
            </w:r>
            <w:proofErr w:type="gramStart"/>
            <w:r w:rsidRPr="00561908">
              <w:rPr>
                <w:rFonts w:ascii="Arial" w:eastAsia="Calibri" w:hAnsi="Arial" w:cs="Arial"/>
              </w:rPr>
              <w:t>biocontrol</w:t>
            </w:r>
            <w:proofErr w:type="gramEnd"/>
            <w:r w:rsidRPr="00561908">
              <w:rPr>
                <w:rFonts w:ascii="Arial" w:eastAsia="Calibri" w:hAnsi="Arial" w:cs="Arial"/>
              </w:rPr>
              <w:t>”</w:t>
            </w:r>
          </w:p>
          <w:p w14:paraId="65F32261" w14:textId="77777777" w:rsidR="00A237F8" w:rsidRPr="00561908" w:rsidRDefault="00A237F8" w:rsidP="00123B30">
            <w:pPr>
              <w:rPr>
                <w:rFonts w:ascii="Arial" w:eastAsia="Calibri" w:hAnsi="Arial" w:cs="Arial"/>
              </w:rPr>
            </w:pPr>
          </w:p>
          <w:p w14:paraId="3B7ACE29" w14:textId="77777777" w:rsidR="00A237F8" w:rsidRPr="00561908" w:rsidRDefault="00A237F8" w:rsidP="00123B30">
            <w:pPr>
              <w:rPr>
                <w:rFonts w:ascii="Arial" w:eastAsia="Calibri" w:hAnsi="Arial" w:cs="Arial"/>
              </w:rPr>
            </w:pPr>
            <w:r w:rsidRPr="00561908">
              <w:rPr>
                <w:rFonts w:ascii="Arial" w:eastAsia="Calibri" w:hAnsi="Arial" w:cs="Arial"/>
              </w:rPr>
              <w:t>“[M]</w:t>
            </w:r>
            <w:proofErr w:type="spellStart"/>
            <w:r w:rsidRPr="00561908">
              <w:rPr>
                <w:rFonts w:ascii="Arial" w:eastAsia="Calibri" w:hAnsi="Arial" w:cs="Arial"/>
              </w:rPr>
              <w:t>onitoring</w:t>
            </w:r>
            <w:proofErr w:type="spellEnd"/>
            <w:r w:rsidRPr="00561908">
              <w:rPr>
                <w:rFonts w:ascii="Arial" w:eastAsia="Calibri" w:hAnsi="Arial" w:cs="Arial"/>
              </w:rPr>
              <w:t xml:space="preserve"> of both direct and indirect effects of </w:t>
            </w:r>
            <w:proofErr w:type="spellStart"/>
            <w:r w:rsidRPr="00561908">
              <w:rPr>
                <w:rFonts w:ascii="Arial" w:eastAsia="Calibri" w:hAnsi="Arial" w:cs="Arial"/>
                <w:i/>
                <w:iCs/>
              </w:rPr>
              <w:t>Tamarix</w:t>
            </w:r>
            <w:proofErr w:type="spellEnd"/>
            <w:r w:rsidRPr="00561908">
              <w:rPr>
                <w:rFonts w:ascii="Arial" w:eastAsia="Calibri" w:hAnsi="Arial" w:cs="Arial"/>
              </w:rPr>
              <w:t xml:space="preserve"> biocontrol should be expanded with results regularly presented. Integration of biological control into riparian restoration and management should be promoted, emphasizing the long-term benefits of biological control (Dudley and Bean 2012). Many of the timelines for reversal of </w:t>
            </w:r>
            <w:proofErr w:type="spellStart"/>
            <w:r w:rsidRPr="00561908">
              <w:rPr>
                <w:rFonts w:ascii="Arial" w:eastAsia="Calibri" w:hAnsi="Arial" w:cs="Arial"/>
                <w:i/>
                <w:iCs/>
              </w:rPr>
              <w:t>Tamarix</w:t>
            </w:r>
            <w:proofErr w:type="spellEnd"/>
            <w:r w:rsidRPr="00561908">
              <w:rPr>
                <w:rFonts w:ascii="Arial" w:eastAsia="Calibri" w:hAnsi="Arial" w:cs="Arial"/>
              </w:rPr>
              <w:t xml:space="preserve"> ecosystem impacts are measured in years or decades, so it will take time to see the full and substantial benefits of the program”</w:t>
            </w:r>
          </w:p>
        </w:tc>
      </w:tr>
    </w:tbl>
    <w:p w14:paraId="536D14A6" w14:textId="77777777" w:rsidR="00A237F8" w:rsidRDefault="00A237F8" w:rsidP="00A237F8">
      <w:pPr>
        <w:rPr>
          <w:rFonts w:ascii="Arial" w:hAnsi="Arial" w:cs="Arial"/>
        </w:rPr>
      </w:pPr>
    </w:p>
    <w:p w14:paraId="055E6808" w14:textId="77777777" w:rsidR="00A237F8" w:rsidRDefault="00A237F8" w:rsidP="00A237F8">
      <w:pPr>
        <w:rPr>
          <w:rFonts w:ascii="Arial" w:hAnsi="Arial" w:cs="Arial"/>
          <w:iCs/>
        </w:rPr>
      </w:pPr>
      <w:r>
        <w:rPr>
          <w:rFonts w:ascii="Arial" w:hAnsi="Arial" w:cs="Arial"/>
        </w:rPr>
        <w:br w:type="page"/>
      </w:r>
    </w:p>
    <w:p w14:paraId="11C9B115" w14:textId="77777777" w:rsidR="00A237F8" w:rsidRPr="00123B30" w:rsidRDefault="00A237F8" w:rsidP="00A237F8">
      <w:pPr>
        <w:pStyle w:val="FigureTableTitle1"/>
        <w:rPr>
          <w:rFonts w:ascii="Arial" w:hAnsi="Arial" w:cs="Arial"/>
          <w:sz w:val="22"/>
          <w:szCs w:val="22"/>
        </w:rPr>
      </w:pPr>
    </w:p>
    <w:p w14:paraId="019B329F" w14:textId="1E61FF83" w:rsidR="00A237F8" w:rsidRPr="00123B30" w:rsidRDefault="00A237F8" w:rsidP="00A237F8">
      <w:pPr>
        <w:pStyle w:val="FigureTableTitle1"/>
        <w:rPr>
          <w:rFonts w:ascii="Arial" w:eastAsia="Calibri" w:hAnsi="Arial" w:cs="Arial"/>
          <w:sz w:val="22"/>
          <w:szCs w:val="22"/>
        </w:rPr>
      </w:pPr>
      <w:bookmarkStart w:id="2" w:name="_Ref151394744"/>
      <w:r w:rsidRPr="00123B30">
        <w:rPr>
          <w:rFonts w:ascii="Arial" w:hAnsi="Arial" w:cs="Arial"/>
          <w:sz w:val="22"/>
          <w:szCs w:val="22"/>
        </w:rPr>
        <w:t>Table S</w:t>
      </w:r>
      <w:bookmarkEnd w:id="2"/>
      <w:r w:rsidR="00755390">
        <w:rPr>
          <w:rFonts w:ascii="Arial" w:hAnsi="Arial" w:cs="Arial"/>
          <w:sz w:val="22"/>
          <w:szCs w:val="22"/>
        </w:rPr>
        <w:t>3</w:t>
      </w:r>
      <w:r w:rsidRPr="00123B30">
        <w:rPr>
          <w:rFonts w:ascii="Arial" w:hAnsi="Arial" w:cs="Arial"/>
          <w:sz w:val="22"/>
          <w:szCs w:val="22"/>
        </w:rPr>
        <w:t xml:space="preserve">: </w:t>
      </w:r>
      <w:r w:rsidRPr="00123B30">
        <w:rPr>
          <w:rFonts w:ascii="Arial" w:eastAsia="Calibri" w:hAnsi="Arial" w:cs="Arial"/>
          <w:sz w:val="22"/>
          <w:szCs w:val="22"/>
        </w:rPr>
        <w:t xml:space="preserve">Number of measured ecosystem responses to control of invasive </w:t>
      </w:r>
      <w:proofErr w:type="spellStart"/>
      <w:r w:rsidRPr="00123B30">
        <w:rPr>
          <w:rFonts w:ascii="Arial" w:eastAsia="Calibri" w:hAnsi="Arial" w:cs="Arial"/>
          <w:i/>
          <w:iCs w:val="0"/>
          <w:sz w:val="22"/>
          <w:szCs w:val="22"/>
        </w:rPr>
        <w:t>Tamarix</w:t>
      </w:r>
      <w:proofErr w:type="spellEnd"/>
      <w:r w:rsidRPr="00123B30">
        <w:rPr>
          <w:rFonts w:ascii="Arial" w:eastAsia="Calibri" w:hAnsi="Arial" w:cs="Arial"/>
          <w:sz w:val="22"/>
          <w:szCs w:val="22"/>
        </w:rPr>
        <w:t xml:space="preserve"> spp. in the American Southwest as reported in the literature, by publication year and ecosystem response category. N = 1,460 reported outcomes within 63 publications.</w:t>
      </w:r>
    </w:p>
    <w:p w14:paraId="39F1B5E2" w14:textId="77777777" w:rsidR="00A237F8" w:rsidRPr="009F0EF0" w:rsidRDefault="00A237F8" w:rsidP="00A237F8"/>
    <w:tbl>
      <w:tblPr>
        <w:tblStyle w:val="TableGrid1"/>
        <w:tblW w:w="6513" w:type="dxa"/>
        <w:tblLook w:val="04A0" w:firstRow="1" w:lastRow="0" w:firstColumn="1" w:lastColumn="0" w:noHBand="0" w:noVBand="1"/>
      </w:tblPr>
      <w:tblGrid>
        <w:gridCol w:w="1293"/>
        <w:gridCol w:w="1268"/>
        <w:gridCol w:w="869"/>
        <w:gridCol w:w="1463"/>
        <w:gridCol w:w="1620"/>
      </w:tblGrid>
      <w:tr w:rsidR="00A237F8" w:rsidRPr="00136742" w14:paraId="09D79294" w14:textId="77777777" w:rsidTr="00123B30">
        <w:trPr>
          <w:trHeight w:val="300"/>
        </w:trPr>
        <w:tc>
          <w:tcPr>
            <w:tcW w:w="1216" w:type="dxa"/>
            <w:noWrap/>
          </w:tcPr>
          <w:p w14:paraId="08DB7AD2" w14:textId="77777777" w:rsidR="00A237F8" w:rsidRPr="00123B30" w:rsidRDefault="00A237F8" w:rsidP="00123B30">
            <w:pPr>
              <w:jc w:val="center"/>
              <w:rPr>
                <w:rFonts w:ascii="Arial" w:eastAsia="Times New Roman" w:hAnsi="Arial" w:cs="Arial"/>
                <w:color w:val="000000"/>
              </w:rPr>
            </w:pPr>
          </w:p>
        </w:tc>
        <w:tc>
          <w:tcPr>
            <w:tcW w:w="5297" w:type="dxa"/>
            <w:gridSpan w:val="4"/>
          </w:tcPr>
          <w:p w14:paraId="67036F74" w14:textId="77777777" w:rsidR="00A237F8" w:rsidRPr="00123B30" w:rsidRDefault="00A237F8" w:rsidP="00123B30">
            <w:pPr>
              <w:jc w:val="center"/>
              <w:rPr>
                <w:rFonts w:ascii="Arial" w:eastAsia="Times New Roman" w:hAnsi="Arial" w:cs="Arial"/>
                <w:color w:val="000000"/>
              </w:rPr>
            </w:pPr>
            <w:r w:rsidRPr="00123B30">
              <w:rPr>
                <w:rFonts w:ascii="Arial" w:eastAsia="Times New Roman" w:hAnsi="Arial" w:cs="Arial"/>
                <w:color w:val="000000"/>
              </w:rPr>
              <w:t>Ecosystem response category</w:t>
            </w:r>
          </w:p>
        </w:tc>
      </w:tr>
      <w:tr w:rsidR="00A237F8" w:rsidRPr="00136742" w14:paraId="2656F62C" w14:textId="77777777" w:rsidTr="00123B30">
        <w:trPr>
          <w:trHeight w:val="300"/>
        </w:trPr>
        <w:tc>
          <w:tcPr>
            <w:tcW w:w="1216" w:type="dxa"/>
            <w:noWrap/>
          </w:tcPr>
          <w:p w14:paraId="2E1EFEA6" w14:textId="77777777" w:rsidR="00A237F8" w:rsidRPr="00123B30" w:rsidRDefault="00A237F8" w:rsidP="00123B30">
            <w:pPr>
              <w:jc w:val="center"/>
              <w:rPr>
                <w:rFonts w:ascii="Arial" w:eastAsia="Times New Roman" w:hAnsi="Arial" w:cs="Arial"/>
                <w:color w:val="000000"/>
              </w:rPr>
            </w:pPr>
            <w:r w:rsidRPr="00123B30">
              <w:rPr>
                <w:rFonts w:ascii="Arial" w:eastAsia="Times New Roman" w:hAnsi="Arial" w:cs="Arial"/>
                <w:color w:val="000000"/>
              </w:rPr>
              <w:t>Publication year</w:t>
            </w:r>
          </w:p>
        </w:tc>
        <w:tc>
          <w:tcPr>
            <w:tcW w:w="1199" w:type="dxa"/>
            <w:noWrap/>
          </w:tcPr>
          <w:p w14:paraId="761BF9B2" w14:textId="77777777" w:rsidR="00A237F8" w:rsidRPr="00123B30" w:rsidRDefault="00A237F8" w:rsidP="00123B30">
            <w:pPr>
              <w:jc w:val="center"/>
              <w:rPr>
                <w:rFonts w:ascii="Arial" w:eastAsia="Times New Roman" w:hAnsi="Arial" w:cs="Arial"/>
                <w:color w:val="000000"/>
              </w:rPr>
            </w:pPr>
            <w:r w:rsidRPr="00123B30">
              <w:rPr>
                <w:rFonts w:ascii="Arial" w:eastAsia="Times New Roman" w:hAnsi="Arial" w:cs="Arial"/>
                <w:color w:val="000000"/>
              </w:rPr>
              <w:t>Vegetation</w:t>
            </w:r>
          </w:p>
        </w:tc>
        <w:tc>
          <w:tcPr>
            <w:tcW w:w="869" w:type="dxa"/>
            <w:noWrap/>
          </w:tcPr>
          <w:p w14:paraId="2A47283D" w14:textId="77777777" w:rsidR="00A237F8" w:rsidRPr="00123B30" w:rsidRDefault="00A237F8" w:rsidP="00123B30">
            <w:pPr>
              <w:jc w:val="center"/>
              <w:rPr>
                <w:rFonts w:ascii="Arial" w:eastAsia="Times New Roman" w:hAnsi="Arial" w:cs="Arial"/>
                <w:color w:val="000000"/>
              </w:rPr>
            </w:pPr>
            <w:r w:rsidRPr="00123B30">
              <w:rPr>
                <w:rFonts w:ascii="Arial" w:eastAsia="Times New Roman" w:hAnsi="Arial" w:cs="Arial"/>
                <w:color w:val="000000"/>
              </w:rPr>
              <w:t>Fauna</w:t>
            </w:r>
          </w:p>
        </w:tc>
        <w:tc>
          <w:tcPr>
            <w:tcW w:w="1609" w:type="dxa"/>
          </w:tcPr>
          <w:p w14:paraId="06DF6855" w14:textId="77777777" w:rsidR="00A237F8" w:rsidRPr="00123B30" w:rsidRDefault="00A237F8" w:rsidP="00123B30">
            <w:pPr>
              <w:jc w:val="center"/>
              <w:rPr>
                <w:rFonts w:ascii="Arial" w:eastAsia="Times New Roman" w:hAnsi="Arial" w:cs="Arial"/>
                <w:color w:val="000000"/>
              </w:rPr>
            </w:pPr>
            <w:r w:rsidRPr="00123B30">
              <w:rPr>
                <w:rFonts w:ascii="Arial" w:eastAsia="Times New Roman" w:hAnsi="Arial" w:cs="Arial"/>
                <w:color w:val="000000"/>
              </w:rPr>
              <w:t>Soil organisms</w:t>
            </w:r>
          </w:p>
        </w:tc>
        <w:tc>
          <w:tcPr>
            <w:tcW w:w="1620" w:type="dxa"/>
            <w:noWrap/>
          </w:tcPr>
          <w:p w14:paraId="43B232E3" w14:textId="77777777" w:rsidR="00A237F8" w:rsidRPr="00123B30" w:rsidRDefault="00A237F8" w:rsidP="00123B30">
            <w:pPr>
              <w:jc w:val="center"/>
              <w:rPr>
                <w:rFonts w:ascii="Arial" w:eastAsia="Times New Roman" w:hAnsi="Arial" w:cs="Arial"/>
                <w:color w:val="000000"/>
              </w:rPr>
            </w:pPr>
            <w:r w:rsidRPr="00123B30">
              <w:rPr>
                <w:rFonts w:ascii="Arial" w:eastAsia="Times New Roman" w:hAnsi="Arial" w:cs="Arial"/>
                <w:color w:val="000000"/>
              </w:rPr>
              <w:t>Abiotic factors</w:t>
            </w:r>
          </w:p>
        </w:tc>
      </w:tr>
      <w:tr w:rsidR="00A237F8" w:rsidRPr="00136742" w14:paraId="434CA26E" w14:textId="77777777" w:rsidTr="00123B30">
        <w:trPr>
          <w:trHeight w:val="300"/>
        </w:trPr>
        <w:tc>
          <w:tcPr>
            <w:tcW w:w="1216" w:type="dxa"/>
            <w:noWrap/>
            <w:hideMark/>
          </w:tcPr>
          <w:p w14:paraId="712EC94D"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1998</w:t>
            </w:r>
          </w:p>
        </w:tc>
        <w:tc>
          <w:tcPr>
            <w:tcW w:w="1199" w:type="dxa"/>
            <w:noWrap/>
            <w:hideMark/>
          </w:tcPr>
          <w:p w14:paraId="2AED8E94"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w:t>
            </w:r>
          </w:p>
        </w:tc>
        <w:tc>
          <w:tcPr>
            <w:tcW w:w="869" w:type="dxa"/>
            <w:noWrap/>
            <w:hideMark/>
          </w:tcPr>
          <w:p w14:paraId="76838420"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w:t>
            </w:r>
          </w:p>
        </w:tc>
        <w:tc>
          <w:tcPr>
            <w:tcW w:w="1609" w:type="dxa"/>
          </w:tcPr>
          <w:p w14:paraId="2E70C0F4"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36A717E6"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r>
      <w:tr w:rsidR="00A237F8" w:rsidRPr="00136742" w14:paraId="25131991" w14:textId="77777777" w:rsidTr="00123B30">
        <w:trPr>
          <w:trHeight w:val="300"/>
        </w:trPr>
        <w:tc>
          <w:tcPr>
            <w:tcW w:w="1216" w:type="dxa"/>
            <w:noWrap/>
            <w:hideMark/>
          </w:tcPr>
          <w:p w14:paraId="6E002190"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1999</w:t>
            </w:r>
          </w:p>
        </w:tc>
        <w:tc>
          <w:tcPr>
            <w:tcW w:w="1199" w:type="dxa"/>
            <w:noWrap/>
            <w:hideMark/>
          </w:tcPr>
          <w:p w14:paraId="161475B8"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8</w:t>
            </w:r>
          </w:p>
        </w:tc>
        <w:tc>
          <w:tcPr>
            <w:tcW w:w="869" w:type="dxa"/>
            <w:noWrap/>
            <w:hideMark/>
          </w:tcPr>
          <w:p w14:paraId="29F4D69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30D9CC14"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2E76F7F4"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r>
      <w:tr w:rsidR="00A237F8" w:rsidRPr="00136742" w14:paraId="526FB297" w14:textId="77777777" w:rsidTr="00123B30">
        <w:trPr>
          <w:trHeight w:val="300"/>
        </w:trPr>
        <w:tc>
          <w:tcPr>
            <w:tcW w:w="1216" w:type="dxa"/>
            <w:noWrap/>
            <w:hideMark/>
          </w:tcPr>
          <w:p w14:paraId="68C8A5E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2001</w:t>
            </w:r>
          </w:p>
        </w:tc>
        <w:tc>
          <w:tcPr>
            <w:tcW w:w="1199" w:type="dxa"/>
            <w:noWrap/>
            <w:hideMark/>
          </w:tcPr>
          <w:p w14:paraId="749204D4"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w:t>
            </w:r>
          </w:p>
        </w:tc>
        <w:tc>
          <w:tcPr>
            <w:tcW w:w="869" w:type="dxa"/>
            <w:noWrap/>
            <w:hideMark/>
          </w:tcPr>
          <w:p w14:paraId="20D03EC4"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7004A185"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7CB54D9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r>
      <w:tr w:rsidR="00A237F8" w:rsidRPr="00136742" w14:paraId="6B77C8E7" w14:textId="77777777" w:rsidTr="00123B30">
        <w:trPr>
          <w:trHeight w:val="300"/>
        </w:trPr>
        <w:tc>
          <w:tcPr>
            <w:tcW w:w="1216" w:type="dxa"/>
            <w:noWrap/>
            <w:hideMark/>
          </w:tcPr>
          <w:p w14:paraId="22231F01"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2003</w:t>
            </w:r>
          </w:p>
        </w:tc>
        <w:tc>
          <w:tcPr>
            <w:tcW w:w="1199" w:type="dxa"/>
            <w:noWrap/>
            <w:hideMark/>
          </w:tcPr>
          <w:p w14:paraId="38691C2A"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12</w:t>
            </w:r>
          </w:p>
        </w:tc>
        <w:tc>
          <w:tcPr>
            <w:tcW w:w="869" w:type="dxa"/>
            <w:noWrap/>
            <w:hideMark/>
          </w:tcPr>
          <w:p w14:paraId="336A56F1"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119633AB"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4A48F1F9"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r>
      <w:tr w:rsidR="00A237F8" w:rsidRPr="00136742" w14:paraId="3FE73A89" w14:textId="77777777" w:rsidTr="00123B30">
        <w:trPr>
          <w:trHeight w:val="300"/>
        </w:trPr>
        <w:tc>
          <w:tcPr>
            <w:tcW w:w="1216" w:type="dxa"/>
            <w:noWrap/>
            <w:hideMark/>
          </w:tcPr>
          <w:p w14:paraId="6D6331E3"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2005</w:t>
            </w:r>
          </w:p>
        </w:tc>
        <w:tc>
          <w:tcPr>
            <w:tcW w:w="1199" w:type="dxa"/>
            <w:noWrap/>
            <w:hideMark/>
          </w:tcPr>
          <w:p w14:paraId="117DC7E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w:t>
            </w:r>
          </w:p>
        </w:tc>
        <w:tc>
          <w:tcPr>
            <w:tcW w:w="869" w:type="dxa"/>
            <w:noWrap/>
            <w:hideMark/>
          </w:tcPr>
          <w:p w14:paraId="216BAFAF"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10</w:t>
            </w:r>
          </w:p>
        </w:tc>
        <w:tc>
          <w:tcPr>
            <w:tcW w:w="1609" w:type="dxa"/>
          </w:tcPr>
          <w:p w14:paraId="3B3F8538"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0EE69B79"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w:t>
            </w:r>
          </w:p>
        </w:tc>
      </w:tr>
      <w:tr w:rsidR="00A237F8" w:rsidRPr="00136742" w14:paraId="6D9434A6" w14:textId="77777777" w:rsidTr="00123B30">
        <w:trPr>
          <w:trHeight w:val="300"/>
        </w:trPr>
        <w:tc>
          <w:tcPr>
            <w:tcW w:w="1216" w:type="dxa"/>
            <w:noWrap/>
            <w:hideMark/>
          </w:tcPr>
          <w:p w14:paraId="24BD81D9"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2006</w:t>
            </w:r>
          </w:p>
        </w:tc>
        <w:tc>
          <w:tcPr>
            <w:tcW w:w="1199" w:type="dxa"/>
            <w:noWrap/>
            <w:hideMark/>
          </w:tcPr>
          <w:p w14:paraId="152B20C6"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102</w:t>
            </w:r>
          </w:p>
        </w:tc>
        <w:tc>
          <w:tcPr>
            <w:tcW w:w="869" w:type="dxa"/>
            <w:noWrap/>
            <w:hideMark/>
          </w:tcPr>
          <w:p w14:paraId="32951596"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1C69E42D"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25634D2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r>
      <w:tr w:rsidR="00A237F8" w:rsidRPr="00136742" w14:paraId="04C20E8D" w14:textId="77777777" w:rsidTr="00123B30">
        <w:trPr>
          <w:trHeight w:val="300"/>
        </w:trPr>
        <w:tc>
          <w:tcPr>
            <w:tcW w:w="1216" w:type="dxa"/>
            <w:noWrap/>
            <w:hideMark/>
          </w:tcPr>
          <w:p w14:paraId="69B4AFD3"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2007</w:t>
            </w:r>
          </w:p>
        </w:tc>
        <w:tc>
          <w:tcPr>
            <w:tcW w:w="1199" w:type="dxa"/>
            <w:noWrap/>
            <w:hideMark/>
          </w:tcPr>
          <w:p w14:paraId="53CA24A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7</w:t>
            </w:r>
          </w:p>
        </w:tc>
        <w:tc>
          <w:tcPr>
            <w:tcW w:w="869" w:type="dxa"/>
            <w:noWrap/>
            <w:hideMark/>
          </w:tcPr>
          <w:p w14:paraId="0CED86FF"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0F609412"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071D293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r>
      <w:tr w:rsidR="00A237F8" w:rsidRPr="00136742" w14:paraId="5B9F6D94" w14:textId="77777777" w:rsidTr="00123B30">
        <w:trPr>
          <w:trHeight w:val="300"/>
        </w:trPr>
        <w:tc>
          <w:tcPr>
            <w:tcW w:w="1216" w:type="dxa"/>
            <w:noWrap/>
            <w:hideMark/>
          </w:tcPr>
          <w:p w14:paraId="23B4F138"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2008</w:t>
            </w:r>
          </w:p>
        </w:tc>
        <w:tc>
          <w:tcPr>
            <w:tcW w:w="1199" w:type="dxa"/>
            <w:noWrap/>
            <w:hideMark/>
          </w:tcPr>
          <w:p w14:paraId="6F96BB7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28</w:t>
            </w:r>
          </w:p>
        </w:tc>
        <w:tc>
          <w:tcPr>
            <w:tcW w:w="869" w:type="dxa"/>
            <w:noWrap/>
            <w:hideMark/>
          </w:tcPr>
          <w:p w14:paraId="04A1F6E9"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11</w:t>
            </w:r>
          </w:p>
        </w:tc>
        <w:tc>
          <w:tcPr>
            <w:tcW w:w="1609" w:type="dxa"/>
          </w:tcPr>
          <w:p w14:paraId="5489EABC"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49FF20F0"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22</w:t>
            </w:r>
          </w:p>
        </w:tc>
      </w:tr>
      <w:tr w:rsidR="00A237F8" w:rsidRPr="00136742" w14:paraId="59233AD3" w14:textId="77777777" w:rsidTr="00123B30">
        <w:trPr>
          <w:trHeight w:val="300"/>
        </w:trPr>
        <w:tc>
          <w:tcPr>
            <w:tcW w:w="1216" w:type="dxa"/>
            <w:noWrap/>
            <w:hideMark/>
          </w:tcPr>
          <w:p w14:paraId="0E3BB12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2009</w:t>
            </w:r>
          </w:p>
        </w:tc>
        <w:tc>
          <w:tcPr>
            <w:tcW w:w="1199" w:type="dxa"/>
            <w:noWrap/>
            <w:hideMark/>
          </w:tcPr>
          <w:p w14:paraId="23086F67"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38</w:t>
            </w:r>
          </w:p>
        </w:tc>
        <w:tc>
          <w:tcPr>
            <w:tcW w:w="869" w:type="dxa"/>
            <w:noWrap/>
            <w:hideMark/>
          </w:tcPr>
          <w:p w14:paraId="15A67F6A"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43</w:t>
            </w:r>
          </w:p>
        </w:tc>
        <w:tc>
          <w:tcPr>
            <w:tcW w:w="1609" w:type="dxa"/>
          </w:tcPr>
          <w:p w14:paraId="2F72B371"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5E5AB6CA"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13</w:t>
            </w:r>
          </w:p>
        </w:tc>
      </w:tr>
      <w:tr w:rsidR="00A237F8" w:rsidRPr="00136742" w14:paraId="5A074DDE" w14:textId="77777777" w:rsidTr="00123B30">
        <w:trPr>
          <w:trHeight w:val="300"/>
        </w:trPr>
        <w:tc>
          <w:tcPr>
            <w:tcW w:w="1216" w:type="dxa"/>
            <w:noWrap/>
            <w:hideMark/>
          </w:tcPr>
          <w:p w14:paraId="37948985"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2010</w:t>
            </w:r>
          </w:p>
        </w:tc>
        <w:tc>
          <w:tcPr>
            <w:tcW w:w="1199" w:type="dxa"/>
            <w:noWrap/>
            <w:hideMark/>
          </w:tcPr>
          <w:p w14:paraId="586C7720"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24</w:t>
            </w:r>
          </w:p>
        </w:tc>
        <w:tc>
          <w:tcPr>
            <w:tcW w:w="869" w:type="dxa"/>
            <w:noWrap/>
            <w:hideMark/>
          </w:tcPr>
          <w:p w14:paraId="5422EF39"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5B404D6C"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4CE721C5"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w:t>
            </w:r>
          </w:p>
        </w:tc>
      </w:tr>
      <w:tr w:rsidR="00A237F8" w:rsidRPr="00136742" w14:paraId="0DEDF071" w14:textId="77777777" w:rsidTr="00123B30">
        <w:trPr>
          <w:trHeight w:val="300"/>
        </w:trPr>
        <w:tc>
          <w:tcPr>
            <w:tcW w:w="1216" w:type="dxa"/>
            <w:noWrap/>
            <w:hideMark/>
          </w:tcPr>
          <w:p w14:paraId="65432C8A"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2011</w:t>
            </w:r>
          </w:p>
        </w:tc>
        <w:tc>
          <w:tcPr>
            <w:tcW w:w="1199" w:type="dxa"/>
            <w:noWrap/>
            <w:hideMark/>
          </w:tcPr>
          <w:p w14:paraId="5D10A3BD"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131</w:t>
            </w:r>
          </w:p>
        </w:tc>
        <w:tc>
          <w:tcPr>
            <w:tcW w:w="869" w:type="dxa"/>
            <w:noWrap/>
            <w:hideMark/>
          </w:tcPr>
          <w:p w14:paraId="6266824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11A16206"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773A2D6F"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8</w:t>
            </w:r>
          </w:p>
        </w:tc>
      </w:tr>
      <w:tr w:rsidR="00A237F8" w:rsidRPr="00136742" w14:paraId="4C9114E2" w14:textId="77777777" w:rsidTr="00123B30">
        <w:trPr>
          <w:trHeight w:val="300"/>
        </w:trPr>
        <w:tc>
          <w:tcPr>
            <w:tcW w:w="1216" w:type="dxa"/>
            <w:noWrap/>
            <w:hideMark/>
          </w:tcPr>
          <w:p w14:paraId="7C2DCEED"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2012</w:t>
            </w:r>
          </w:p>
        </w:tc>
        <w:tc>
          <w:tcPr>
            <w:tcW w:w="1199" w:type="dxa"/>
            <w:noWrap/>
            <w:hideMark/>
          </w:tcPr>
          <w:p w14:paraId="04685CED"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30</w:t>
            </w:r>
          </w:p>
        </w:tc>
        <w:tc>
          <w:tcPr>
            <w:tcW w:w="869" w:type="dxa"/>
            <w:noWrap/>
            <w:hideMark/>
          </w:tcPr>
          <w:p w14:paraId="32C1A945"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6</w:t>
            </w:r>
          </w:p>
        </w:tc>
        <w:tc>
          <w:tcPr>
            <w:tcW w:w="1609" w:type="dxa"/>
          </w:tcPr>
          <w:p w14:paraId="4A87863F"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8</w:t>
            </w:r>
          </w:p>
        </w:tc>
        <w:tc>
          <w:tcPr>
            <w:tcW w:w="1620" w:type="dxa"/>
            <w:noWrap/>
            <w:hideMark/>
          </w:tcPr>
          <w:p w14:paraId="4C35F1F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21</w:t>
            </w:r>
          </w:p>
        </w:tc>
      </w:tr>
      <w:tr w:rsidR="00A237F8" w:rsidRPr="00136742" w14:paraId="0C34CFFE" w14:textId="77777777" w:rsidTr="00123B30">
        <w:trPr>
          <w:trHeight w:val="300"/>
        </w:trPr>
        <w:tc>
          <w:tcPr>
            <w:tcW w:w="1216" w:type="dxa"/>
            <w:noWrap/>
            <w:hideMark/>
          </w:tcPr>
          <w:p w14:paraId="74DAEEC0"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2013</w:t>
            </w:r>
          </w:p>
        </w:tc>
        <w:tc>
          <w:tcPr>
            <w:tcW w:w="1199" w:type="dxa"/>
            <w:noWrap/>
            <w:hideMark/>
          </w:tcPr>
          <w:p w14:paraId="0E0634FD"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176</w:t>
            </w:r>
          </w:p>
        </w:tc>
        <w:tc>
          <w:tcPr>
            <w:tcW w:w="869" w:type="dxa"/>
            <w:noWrap/>
            <w:hideMark/>
          </w:tcPr>
          <w:p w14:paraId="1F2B7D7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627A0B5C"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7F12B849"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21</w:t>
            </w:r>
          </w:p>
        </w:tc>
      </w:tr>
      <w:tr w:rsidR="00A237F8" w:rsidRPr="00136742" w14:paraId="170AC14C" w14:textId="77777777" w:rsidTr="00123B30">
        <w:trPr>
          <w:trHeight w:val="300"/>
        </w:trPr>
        <w:tc>
          <w:tcPr>
            <w:tcW w:w="1216" w:type="dxa"/>
            <w:noWrap/>
            <w:hideMark/>
          </w:tcPr>
          <w:p w14:paraId="611C0655"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2014</w:t>
            </w:r>
          </w:p>
        </w:tc>
        <w:tc>
          <w:tcPr>
            <w:tcW w:w="1199" w:type="dxa"/>
            <w:noWrap/>
            <w:hideMark/>
          </w:tcPr>
          <w:p w14:paraId="0B2BDA87"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40</w:t>
            </w:r>
          </w:p>
        </w:tc>
        <w:tc>
          <w:tcPr>
            <w:tcW w:w="869" w:type="dxa"/>
            <w:noWrap/>
            <w:hideMark/>
          </w:tcPr>
          <w:p w14:paraId="2C6B12E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22C03787"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431EFE33"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w:t>
            </w:r>
          </w:p>
        </w:tc>
      </w:tr>
      <w:tr w:rsidR="00A237F8" w:rsidRPr="00136742" w14:paraId="61F58ED5" w14:textId="77777777" w:rsidTr="00123B30">
        <w:trPr>
          <w:trHeight w:val="300"/>
        </w:trPr>
        <w:tc>
          <w:tcPr>
            <w:tcW w:w="1216" w:type="dxa"/>
            <w:noWrap/>
            <w:hideMark/>
          </w:tcPr>
          <w:p w14:paraId="12A64120"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2015</w:t>
            </w:r>
          </w:p>
        </w:tc>
        <w:tc>
          <w:tcPr>
            <w:tcW w:w="1199" w:type="dxa"/>
            <w:noWrap/>
            <w:hideMark/>
          </w:tcPr>
          <w:p w14:paraId="0F1D2B2A"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31</w:t>
            </w:r>
          </w:p>
        </w:tc>
        <w:tc>
          <w:tcPr>
            <w:tcW w:w="869" w:type="dxa"/>
            <w:noWrap/>
            <w:hideMark/>
          </w:tcPr>
          <w:p w14:paraId="6D0DA91F"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79</w:t>
            </w:r>
          </w:p>
        </w:tc>
        <w:tc>
          <w:tcPr>
            <w:tcW w:w="1609" w:type="dxa"/>
          </w:tcPr>
          <w:p w14:paraId="401DF350"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580C1103"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w:t>
            </w:r>
          </w:p>
        </w:tc>
      </w:tr>
      <w:tr w:rsidR="00A237F8" w:rsidRPr="00136742" w14:paraId="5420BB95" w14:textId="77777777" w:rsidTr="00123B30">
        <w:trPr>
          <w:trHeight w:val="300"/>
        </w:trPr>
        <w:tc>
          <w:tcPr>
            <w:tcW w:w="1216" w:type="dxa"/>
            <w:noWrap/>
            <w:hideMark/>
          </w:tcPr>
          <w:p w14:paraId="24756D0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2016</w:t>
            </w:r>
          </w:p>
        </w:tc>
        <w:tc>
          <w:tcPr>
            <w:tcW w:w="1199" w:type="dxa"/>
            <w:noWrap/>
            <w:hideMark/>
          </w:tcPr>
          <w:p w14:paraId="47E5663C"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18</w:t>
            </w:r>
          </w:p>
        </w:tc>
        <w:tc>
          <w:tcPr>
            <w:tcW w:w="869" w:type="dxa"/>
            <w:noWrap/>
            <w:hideMark/>
          </w:tcPr>
          <w:p w14:paraId="468FF5D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w:t>
            </w:r>
          </w:p>
        </w:tc>
        <w:tc>
          <w:tcPr>
            <w:tcW w:w="1609" w:type="dxa"/>
          </w:tcPr>
          <w:p w14:paraId="1BD653F4"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085F893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24</w:t>
            </w:r>
          </w:p>
        </w:tc>
      </w:tr>
      <w:tr w:rsidR="00A237F8" w:rsidRPr="00136742" w14:paraId="25B62DD9" w14:textId="77777777" w:rsidTr="00123B30">
        <w:trPr>
          <w:trHeight w:val="300"/>
        </w:trPr>
        <w:tc>
          <w:tcPr>
            <w:tcW w:w="1216" w:type="dxa"/>
            <w:noWrap/>
            <w:hideMark/>
          </w:tcPr>
          <w:p w14:paraId="06C9157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2017</w:t>
            </w:r>
          </w:p>
        </w:tc>
        <w:tc>
          <w:tcPr>
            <w:tcW w:w="1199" w:type="dxa"/>
            <w:noWrap/>
            <w:hideMark/>
          </w:tcPr>
          <w:p w14:paraId="6B49B4B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95</w:t>
            </w:r>
          </w:p>
        </w:tc>
        <w:tc>
          <w:tcPr>
            <w:tcW w:w="869" w:type="dxa"/>
            <w:noWrap/>
            <w:hideMark/>
          </w:tcPr>
          <w:p w14:paraId="05A60688"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8</w:t>
            </w:r>
          </w:p>
        </w:tc>
        <w:tc>
          <w:tcPr>
            <w:tcW w:w="1609" w:type="dxa"/>
          </w:tcPr>
          <w:p w14:paraId="4D55383E"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595B7C23"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73</w:t>
            </w:r>
          </w:p>
        </w:tc>
      </w:tr>
      <w:tr w:rsidR="00A237F8" w:rsidRPr="00136742" w14:paraId="1C230D45" w14:textId="77777777" w:rsidTr="00123B30">
        <w:trPr>
          <w:trHeight w:val="300"/>
        </w:trPr>
        <w:tc>
          <w:tcPr>
            <w:tcW w:w="1216" w:type="dxa"/>
            <w:noWrap/>
            <w:hideMark/>
          </w:tcPr>
          <w:p w14:paraId="59099D38"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2018</w:t>
            </w:r>
          </w:p>
        </w:tc>
        <w:tc>
          <w:tcPr>
            <w:tcW w:w="1199" w:type="dxa"/>
            <w:noWrap/>
            <w:hideMark/>
          </w:tcPr>
          <w:p w14:paraId="60E160C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39</w:t>
            </w:r>
          </w:p>
        </w:tc>
        <w:tc>
          <w:tcPr>
            <w:tcW w:w="869" w:type="dxa"/>
            <w:noWrap/>
            <w:hideMark/>
          </w:tcPr>
          <w:p w14:paraId="414BBB84"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12</w:t>
            </w:r>
          </w:p>
        </w:tc>
        <w:tc>
          <w:tcPr>
            <w:tcW w:w="1609" w:type="dxa"/>
          </w:tcPr>
          <w:p w14:paraId="11659A63"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01E07CD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12</w:t>
            </w:r>
          </w:p>
        </w:tc>
      </w:tr>
      <w:tr w:rsidR="00A237F8" w:rsidRPr="00136742" w14:paraId="1DFE4880" w14:textId="77777777" w:rsidTr="00123B30">
        <w:trPr>
          <w:trHeight w:val="300"/>
        </w:trPr>
        <w:tc>
          <w:tcPr>
            <w:tcW w:w="1216" w:type="dxa"/>
            <w:noWrap/>
            <w:hideMark/>
          </w:tcPr>
          <w:p w14:paraId="07C0C186"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2019</w:t>
            </w:r>
          </w:p>
        </w:tc>
        <w:tc>
          <w:tcPr>
            <w:tcW w:w="1199" w:type="dxa"/>
            <w:noWrap/>
            <w:hideMark/>
          </w:tcPr>
          <w:p w14:paraId="08CCF7AB"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159</w:t>
            </w:r>
          </w:p>
        </w:tc>
        <w:tc>
          <w:tcPr>
            <w:tcW w:w="869" w:type="dxa"/>
            <w:noWrap/>
            <w:hideMark/>
          </w:tcPr>
          <w:p w14:paraId="3A460143"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2AAB2C47"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03CE5778"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25</w:t>
            </w:r>
          </w:p>
        </w:tc>
      </w:tr>
      <w:tr w:rsidR="00A237F8" w:rsidRPr="00136742" w14:paraId="707D20C2" w14:textId="77777777" w:rsidTr="00123B30">
        <w:trPr>
          <w:trHeight w:val="300"/>
        </w:trPr>
        <w:tc>
          <w:tcPr>
            <w:tcW w:w="1216" w:type="dxa"/>
            <w:noWrap/>
            <w:hideMark/>
          </w:tcPr>
          <w:p w14:paraId="3F3008ED"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2020</w:t>
            </w:r>
          </w:p>
        </w:tc>
        <w:tc>
          <w:tcPr>
            <w:tcW w:w="1199" w:type="dxa"/>
            <w:noWrap/>
            <w:hideMark/>
          </w:tcPr>
          <w:p w14:paraId="30D34F4E"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79</w:t>
            </w:r>
          </w:p>
        </w:tc>
        <w:tc>
          <w:tcPr>
            <w:tcW w:w="869" w:type="dxa"/>
            <w:noWrap/>
            <w:hideMark/>
          </w:tcPr>
          <w:p w14:paraId="359629B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0</w:t>
            </w:r>
          </w:p>
        </w:tc>
        <w:tc>
          <w:tcPr>
            <w:tcW w:w="1609" w:type="dxa"/>
          </w:tcPr>
          <w:p w14:paraId="5CCA5AA5" w14:textId="77777777" w:rsidR="00A237F8" w:rsidRPr="00123B30" w:rsidRDefault="00A237F8" w:rsidP="00123B30">
            <w:pPr>
              <w:jc w:val="right"/>
              <w:rPr>
                <w:rFonts w:ascii="Arial" w:eastAsia="Times New Roman" w:hAnsi="Arial" w:cs="Arial"/>
                <w:color w:val="000000"/>
              </w:rPr>
            </w:pPr>
            <w:r w:rsidRPr="00123B30">
              <w:rPr>
                <w:rFonts w:ascii="Arial" w:hAnsi="Arial" w:cs="Arial"/>
                <w:color w:val="000000"/>
              </w:rPr>
              <w:t>0</w:t>
            </w:r>
          </w:p>
        </w:tc>
        <w:tc>
          <w:tcPr>
            <w:tcW w:w="1620" w:type="dxa"/>
            <w:noWrap/>
            <w:hideMark/>
          </w:tcPr>
          <w:p w14:paraId="5A0442A2" w14:textId="77777777" w:rsidR="00A237F8" w:rsidRPr="00123B30" w:rsidRDefault="00A237F8" w:rsidP="00123B30">
            <w:pPr>
              <w:jc w:val="right"/>
              <w:rPr>
                <w:rFonts w:ascii="Arial" w:eastAsia="Times New Roman" w:hAnsi="Arial" w:cs="Arial"/>
                <w:color w:val="000000"/>
              </w:rPr>
            </w:pPr>
            <w:r w:rsidRPr="00123B30">
              <w:rPr>
                <w:rFonts w:ascii="Arial" w:eastAsia="Times New Roman" w:hAnsi="Arial" w:cs="Arial"/>
                <w:color w:val="000000"/>
              </w:rPr>
              <w:t>10</w:t>
            </w:r>
          </w:p>
        </w:tc>
      </w:tr>
    </w:tbl>
    <w:p w14:paraId="0B5E9F80" w14:textId="77777777" w:rsidR="00A237F8" w:rsidRDefault="00A237F8" w:rsidP="00A237F8">
      <w:pPr>
        <w:rPr>
          <w:rFonts w:ascii="Arial" w:eastAsia="Arial" w:hAnsi="Arial" w:cs="Arial"/>
        </w:rPr>
      </w:pPr>
    </w:p>
    <w:p w14:paraId="4819B011" w14:textId="77777777" w:rsidR="00A237F8" w:rsidRDefault="00A237F8" w:rsidP="00A237F8">
      <w:pPr>
        <w:rPr>
          <w:rFonts w:ascii="Arial" w:eastAsia="Arial" w:hAnsi="Arial" w:cs="Arial"/>
        </w:rPr>
      </w:pPr>
      <w:r>
        <w:rPr>
          <w:rFonts w:ascii="Arial" w:eastAsia="Arial" w:hAnsi="Arial" w:cs="Arial"/>
        </w:rPr>
        <w:br w:type="page"/>
      </w:r>
    </w:p>
    <w:p w14:paraId="1C84495B" w14:textId="77777777" w:rsidR="00A237F8" w:rsidRDefault="00A237F8" w:rsidP="00A237F8">
      <w:pPr>
        <w:rPr>
          <w:rFonts w:ascii="Arial" w:eastAsia="Arial" w:hAnsi="Arial" w:cs="Arial"/>
        </w:rPr>
      </w:pPr>
    </w:p>
    <w:p w14:paraId="19FEDEFC" w14:textId="370DDC72" w:rsidR="00A237F8" w:rsidRPr="009F0EF0" w:rsidRDefault="00A237F8" w:rsidP="00A237F8">
      <w:pPr>
        <w:spacing w:after="200" w:line="240" w:lineRule="auto"/>
        <w:ind w:firstLine="360"/>
        <w:jc w:val="center"/>
        <w:outlineLvl w:val="5"/>
        <w:rPr>
          <w:rFonts w:ascii="Arial" w:eastAsia="Calibri" w:hAnsi="Arial" w:cs="Arial"/>
          <w:iCs/>
        </w:rPr>
      </w:pPr>
      <w:bookmarkStart w:id="3" w:name="_Ref151394757"/>
      <w:r w:rsidRPr="00123B30">
        <w:rPr>
          <w:rFonts w:ascii="Arial" w:hAnsi="Arial" w:cs="Arial"/>
        </w:rPr>
        <w:t>Table S</w:t>
      </w:r>
      <w:bookmarkEnd w:id="3"/>
      <w:r w:rsidR="00755390">
        <w:rPr>
          <w:rFonts w:ascii="Arial" w:hAnsi="Arial" w:cs="Arial"/>
        </w:rPr>
        <w:t>4</w:t>
      </w:r>
      <w:r w:rsidRPr="00123B30">
        <w:rPr>
          <w:rFonts w:ascii="Arial" w:hAnsi="Arial" w:cs="Arial"/>
        </w:rPr>
        <w:t xml:space="preserve">: </w:t>
      </w:r>
      <w:r w:rsidRPr="009F0EF0">
        <w:rPr>
          <w:rFonts w:ascii="Arial" w:eastAsia="Calibri" w:hAnsi="Arial" w:cs="Arial"/>
          <w:iCs/>
        </w:rPr>
        <w:t xml:space="preserve">Number of measured ecosystem responses to control of invasive </w:t>
      </w:r>
      <w:proofErr w:type="spellStart"/>
      <w:r w:rsidRPr="009F0EF0">
        <w:rPr>
          <w:rFonts w:ascii="Arial" w:eastAsia="Calibri" w:hAnsi="Arial" w:cs="Arial"/>
          <w:i/>
        </w:rPr>
        <w:t>Tamarix</w:t>
      </w:r>
      <w:proofErr w:type="spellEnd"/>
      <w:r w:rsidRPr="009F0EF0">
        <w:rPr>
          <w:rFonts w:ascii="Arial" w:eastAsia="Calibri" w:hAnsi="Arial" w:cs="Arial"/>
          <w:i/>
        </w:rPr>
        <w:t xml:space="preserve"> </w:t>
      </w:r>
      <w:r w:rsidRPr="009F0EF0">
        <w:rPr>
          <w:rFonts w:ascii="Arial" w:eastAsia="Calibri" w:hAnsi="Arial" w:cs="Arial"/>
          <w:iCs/>
        </w:rPr>
        <w:t xml:space="preserve">spp. in the American Southwest as reported in the literature, by publication year and primary treatment method. In this case, “biocontrol” denotes that biological control via </w:t>
      </w:r>
      <w:proofErr w:type="spellStart"/>
      <w:r w:rsidRPr="009F0EF0">
        <w:rPr>
          <w:rFonts w:ascii="Arial" w:eastAsia="Calibri" w:hAnsi="Arial" w:cs="Arial"/>
          <w:i/>
          <w:iCs/>
        </w:rPr>
        <w:t>Diorhabda</w:t>
      </w:r>
      <w:proofErr w:type="spellEnd"/>
      <w:r w:rsidRPr="009F0EF0">
        <w:rPr>
          <w:rFonts w:ascii="Arial" w:eastAsia="Calibri" w:hAnsi="Arial" w:cs="Arial"/>
          <w:i/>
          <w:iCs/>
        </w:rPr>
        <w:t xml:space="preserve"> </w:t>
      </w:r>
      <w:r w:rsidRPr="009F0EF0">
        <w:rPr>
          <w:rFonts w:ascii="Arial" w:eastAsia="Calibri" w:hAnsi="Arial" w:cs="Arial"/>
          <w:iCs/>
        </w:rPr>
        <w:t>spp. was the treatment method evaluated in the study, i.e. only present in the experimental treatments. N = 1,460 reported outcomes within 63 publications.</w:t>
      </w:r>
    </w:p>
    <w:tbl>
      <w:tblPr>
        <w:tblStyle w:val="TableGrid1"/>
        <w:tblW w:w="9350" w:type="dxa"/>
        <w:tblLook w:val="04A0" w:firstRow="1" w:lastRow="0" w:firstColumn="1" w:lastColumn="0" w:noHBand="0" w:noVBand="1"/>
      </w:tblPr>
      <w:tblGrid>
        <w:gridCol w:w="1144"/>
        <w:gridCol w:w="1072"/>
        <w:gridCol w:w="929"/>
        <w:gridCol w:w="899"/>
        <w:gridCol w:w="992"/>
        <w:gridCol w:w="1432"/>
        <w:gridCol w:w="1011"/>
        <w:gridCol w:w="1089"/>
        <w:gridCol w:w="782"/>
      </w:tblGrid>
      <w:tr w:rsidR="00A237F8" w:rsidRPr="005119EF" w14:paraId="694BF69A" w14:textId="77777777" w:rsidTr="00123B30">
        <w:trPr>
          <w:trHeight w:val="300"/>
        </w:trPr>
        <w:tc>
          <w:tcPr>
            <w:tcW w:w="1144" w:type="dxa"/>
            <w:noWrap/>
          </w:tcPr>
          <w:p w14:paraId="61BD227E" w14:textId="77777777" w:rsidR="00A237F8" w:rsidRPr="00123B30" w:rsidRDefault="00A237F8" w:rsidP="00123B30">
            <w:pPr>
              <w:rPr>
                <w:rFonts w:ascii="Arial" w:eastAsia="Times New Roman" w:hAnsi="Arial" w:cs="Arial"/>
                <w:color w:val="000000"/>
                <w:sz w:val="18"/>
                <w:szCs w:val="18"/>
              </w:rPr>
            </w:pPr>
          </w:p>
        </w:tc>
        <w:tc>
          <w:tcPr>
            <w:tcW w:w="8206" w:type="dxa"/>
            <w:gridSpan w:val="8"/>
            <w:noWrap/>
          </w:tcPr>
          <w:p w14:paraId="2FE11769" w14:textId="77777777" w:rsidR="00A237F8" w:rsidRPr="00123B30" w:rsidRDefault="00A237F8" w:rsidP="00123B30">
            <w:pPr>
              <w:jc w:val="center"/>
              <w:rPr>
                <w:rFonts w:ascii="Arial" w:eastAsia="Times New Roman" w:hAnsi="Arial" w:cs="Arial"/>
                <w:i/>
                <w:iCs/>
                <w:color w:val="000000"/>
                <w:sz w:val="18"/>
                <w:szCs w:val="18"/>
              </w:rPr>
            </w:pPr>
            <w:r w:rsidRPr="00123B30">
              <w:rPr>
                <w:rFonts w:ascii="Arial" w:eastAsia="Times New Roman" w:hAnsi="Arial" w:cs="Arial"/>
                <w:color w:val="000000"/>
                <w:sz w:val="18"/>
                <w:szCs w:val="18"/>
              </w:rPr>
              <w:t xml:space="preserve">Primary method for treating invasive </w:t>
            </w:r>
            <w:proofErr w:type="spellStart"/>
            <w:r w:rsidRPr="00123B30">
              <w:rPr>
                <w:rFonts w:ascii="Arial" w:eastAsia="Times New Roman" w:hAnsi="Arial" w:cs="Arial"/>
                <w:i/>
                <w:iCs/>
                <w:color w:val="000000"/>
                <w:sz w:val="18"/>
                <w:szCs w:val="18"/>
              </w:rPr>
              <w:t>Tamarix</w:t>
            </w:r>
            <w:proofErr w:type="spellEnd"/>
          </w:p>
        </w:tc>
      </w:tr>
      <w:tr w:rsidR="00A237F8" w:rsidRPr="005119EF" w14:paraId="583369A8" w14:textId="77777777" w:rsidTr="00123B30">
        <w:trPr>
          <w:trHeight w:val="300"/>
        </w:trPr>
        <w:tc>
          <w:tcPr>
            <w:tcW w:w="1144" w:type="dxa"/>
            <w:noWrap/>
          </w:tcPr>
          <w:p w14:paraId="22405B85"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Publication year</w:t>
            </w:r>
          </w:p>
        </w:tc>
        <w:tc>
          <w:tcPr>
            <w:tcW w:w="1072" w:type="dxa"/>
            <w:noWrap/>
          </w:tcPr>
          <w:p w14:paraId="1A03D489"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Biological control</w:t>
            </w:r>
          </w:p>
        </w:tc>
        <w:tc>
          <w:tcPr>
            <w:tcW w:w="929" w:type="dxa"/>
            <w:noWrap/>
          </w:tcPr>
          <w:p w14:paraId="1FFD4FBB"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Burning</w:t>
            </w:r>
          </w:p>
        </w:tc>
        <w:tc>
          <w:tcPr>
            <w:tcW w:w="899" w:type="dxa"/>
            <w:noWrap/>
          </w:tcPr>
          <w:p w14:paraId="53E8891B"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Cutting only</w:t>
            </w:r>
          </w:p>
        </w:tc>
        <w:tc>
          <w:tcPr>
            <w:tcW w:w="992" w:type="dxa"/>
            <w:noWrap/>
          </w:tcPr>
          <w:p w14:paraId="1AE0B84A" w14:textId="77777777" w:rsidR="00A237F8" w:rsidRPr="00123B30" w:rsidRDefault="00A237F8" w:rsidP="00123B30">
            <w:pPr>
              <w:rPr>
                <w:rFonts w:ascii="Arial" w:eastAsia="Times New Roman" w:hAnsi="Arial" w:cs="Arial"/>
                <w:color w:val="000000"/>
                <w:sz w:val="18"/>
                <w:szCs w:val="18"/>
              </w:rPr>
            </w:pPr>
            <w:proofErr w:type="gramStart"/>
            <w:r w:rsidRPr="00123B30">
              <w:rPr>
                <w:rFonts w:ascii="Arial" w:eastAsia="Times New Roman" w:hAnsi="Arial" w:cs="Arial"/>
                <w:color w:val="000000"/>
                <w:sz w:val="18"/>
                <w:szCs w:val="18"/>
              </w:rPr>
              <w:t>Cut-stump</w:t>
            </w:r>
            <w:proofErr w:type="gramEnd"/>
            <w:r w:rsidRPr="00123B30">
              <w:rPr>
                <w:rFonts w:ascii="Arial" w:eastAsia="Times New Roman" w:hAnsi="Arial" w:cs="Arial"/>
                <w:color w:val="000000"/>
                <w:sz w:val="18"/>
                <w:szCs w:val="18"/>
              </w:rPr>
              <w:t xml:space="preserve"> with applied herbicide</w:t>
            </w:r>
          </w:p>
        </w:tc>
        <w:tc>
          <w:tcPr>
            <w:tcW w:w="1432" w:type="dxa"/>
            <w:noWrap/>
          </w:tcPr>
          <w:p w14:paraId="3A0A9C71"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Environmental water delivery</w:t>
            </w:r>
          </w:p>
        </w:tc>
        <w:tc>
          <w:tcPr>
            <w:tcW w:w="1011" w:type="dxa"/>
            <w:noWrap/>
          </w:tcPr>
          <w:p w14:paraId="44205F4F"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Herbicide only</w:t>
            </w:r>
          </w:p>
        </w:tc>
        <w:tc>
          <w:tcPr>
            <w:tcW w:w="1089" w:type="dxa"/>
            <w:noWrap/>
          </w:tcPr>
          <w:p w14:paraId="28F545BF"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Heavy machinery</w:t>
            </w:r>
          </w:p>
        </w:tc>
        <w:tc>
          <w:tcPr>
            <w:tcW w:w="782" w:type="dxa"/>
            <w:noWrap/>
          </w:tcPr>
          <w:p w14:paraId="64818760" w14:textId="77777777" w:rsidR="00A237F8" w:rsidRPr="00123B30" w:rsidRDefault="00A237F8" w:rsidP="00123B30">
            <w:pPr>
              <w:rPr>
                <w:rFonts w:ascii="Arial" w:eastAsia="Times New Roman" w:hAnsi="Arial" w:cs="Arial"/>
                <w:color w:val="000000"/>
                <w:sz w:val="18"/>
                <w:szCs w:val="18"/>
              </w:rPr>
            </w:pPr>
            <w:r w:rsidRPr="00123B30">
              <w:rPr>
                <w:rFonts w:ascii="Arial" w:eastAsia="Times New Roman" w:hAnsi="Arial" w:cs="Arial"/>
                <w:color w:val="000000"/>
                <w:sz w:val="18"/>
                <w:szCs w:val="18"/>
              </w:rPr>
              <w:t>Varied</w:t>
            </w:r>
          </w:p>
        </w:tc>
      </w:tr>
      <w:tr w:rsidR="00A237F8" w:rsidRPr="005119EF" w14:paraId="04301141" w14:textId="77777777" w:rsidTr="00123B30">
        <w:trPr>
          <w:trHeight w:val="300"/>
        </w:trPr>
        <w:tc>
          <w:tcPr>
            <w:tcW w:w="1144" w:type="dxa"/>
            <w:noWrap/>
            <w:hideMark/>
          </w:tcPr>
          <w:p w14:paraId="47692E9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1998</w:t>
            </w:r>
          </w:p>
        </w:tc>
        <w:tc>
          <w:tcPr>
            <w:tcW w:w="1072" w:type="dxa"/>
            <w:noWrap/>
            <w:hideMark/>
          </w:tcPr>
          <w:p w14:paraId="292C570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29" w:type="dxa"/>
            <w:noWrap/>
            <w:hideMark/>
          </w:tcPr>
          <w:p w14:paraId="2513860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15</w:t>
            </w:r>
          </w:p>
        </w:tc>
        <w:tc>
          <w:tcPr>
            <w:tcW w:w="899" w:type="dxa"/>
            <w:noWrap/>
            <w:hideMark/>
          </w:tcPr>
          <w:p w14:paraId="7909964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7FD6220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54E4BF2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8</w:t>
            </w:r>
          </w:p>
        </w:tc>
        <w:tc>
          <w:tcPr>
            <w:tcW w:w="1011" w:type="dxa"/>
            <w:noWrap/>
            <w:hideMark/>
          </w:tcPr>
          <w:p w14:paraId="6686668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4D1832B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345D8E7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1F79FA54" w14:textId="77777777" w:rsidTr="00123B30">
        <w:trPr>
          <w:trHeight w:val="300"/>
        </w:trPr>
        <w:tc>
          <w:tcPr>
            <w:tcW w:w="1144" w:type="dxa"/>
            <w:noWrap/>
            <w:hideMark/>
          </w:tcPr>
          <w:p w14:paraId="431294C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1999</w:t>
            </w:r>
          </w:p>
        </w:tc>
        <w:tc>
          <w:tcPr>
            <w:tcW w:w="1072" w:type="dxa"/>
            <w:noWrap/>
            <w:hideMark/>
          </w:tcPr>
          <w:p w14:paraId="3AE33A1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29" w:type="dxa"/>
            <w:noWrap/>
            <w:hideMark/>
          </w:tcPr>
          <w:p w14:paraId="3A375D7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790A70E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209A4EB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5ACACBF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30FFF53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666EE5B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8</w:t>
            </w:r>
          </w:p>
        </w:tc>
        <w:tc>
          <w:tcPr>
            <w:tcW w:w="782" w:type="dxa"/>
            <w:noWrap/>
            <w:hideMark/>
          </w:tcPr>
          <w:p w14:paraId="476F9A2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7275FCBB" w14:textId="77777777" w:rsidTr="00123B30">
        <w:trPr>
          <w:trHeight w:val="300"/>
        </w:trPr>
        <w:tc>
          <w:tcPr>
            <w:tcW w:w="1144" w:type="dxa"/>
            <w:noWrap/>
            <w:hideMark/>
          </w:tcPr>
          <w:p w14:paraId="25851D6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2001</w:t>
            </w:r>
          </w:p>
        </w:tc>
        <w:tc>
          <w:tcPr>
            <w:tcW w:w="1072" w:type="dxa"/>
            <w:noWrap/>
            <w:hideMark/>
          </w:tcPr>
          <w:p w14:paraId="7EC64E7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29" w:type="dxa"/>
            <w:noWrap/>
            <w:hideMark/>
          </w:tcPr>
          <w:p w14:paraId="18BDE93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48A92B6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1CF3571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3E605E6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w:t>
            </w:r>
          </w:p>
        </w:tc>
        <w:tc>
          <w:tcPr>
            <w:tcW w:w="1011" w:type="dxa"/>
            <w:noWrap/>
            <w:hideMark/>
          </w:tcPr>
          <w:p w14:paraId="121166F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40A8B0C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2292BD5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059121B0" w14:textId="77777777" w:rsidTr="00123B30">
        <w:trPr>
          <w:trHeight w:val="300"/>
        </w:trPr>
        <w:tc>
          <w:tcPr>
            <w:tcW w:w="1144" w:type="dxa"/>
            <w:noWrap/>
            <w:hideMark/>
          </w:tcPr>
          <w:p w14:paraId="336D7B2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2003</w:t>
            </w:r>
          </w:p>
        </w:tc>
        <w:tc>
          <w:tcPr>
            <w:tcW w:w="1072" w:type="dxa"/>
            <w:noWrap/>
            <w:hideMark/>
          </w:tcPr>
          <w:p w14:paraId="0A19A21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29" w:type="dxa"/>
            <w:noWrap/>
            <w:hideMark/>
          </w:tcPr>
          <w:p w14:paraId="146C24E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6</w:t>
            </w:r>
          </w:p>
        </w:tc>
        <w:tc>
          <w:tcPr>
            <w:tcW w:w="899" w:type="dxa"/>
            <w:noWrap/>
            <w:hideMark/>
          </w:tcPr>
          <w:p w14:paraId="13D1400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5D926BF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5545B72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6E8F4E3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0AB997E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6</w:t>
            </w:r>
          </w:p>
        </w:tc>
        <w:tc>
          <w:tcPr>
            <w:tcW w:w="782" w:type="dxa"/>
            <w:noWrap/>
            <w:hideMark/>
          </w:tcPr>
          <w:p w14:paraId="0D04A09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2108F315" w14:textId="77777777" w:rsidTr="00123B30">
        <w:trPr>
          <w:trHeight w:val="300"/>
        </w:trPr>
        <w:tc>
          <w:tcPr>
            <w:tcW w:w="1144" w:type="dxa"/>
            <w:noWrap/>
            <w:hideMark/>
          </w:tcPr>
          <w:p w14:paraId="2BC6213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2005</w:t>
            </w:r>
          </w:p>
        </w:tc>
        <w:tc>
          <w:tcPr>
            <w:tcW w:w="1072" w:type="dxa"/>
            <w:noWrap/>
            <w:hideMark/>
          </w:tcPr>
          <w:p w14:paraId="6AF4673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29" w:type="dxa"/>
            <w:noWrap/>
            <w:hideMark/>
          </w:tcPr>
          <w:p w14:paraId="3D28599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50028B2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0CA1ADC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10</w:t>
            </w:r>
          </w:p>
        </w:tc>
        <w:tc>
          <w:tcPr>
            <w:tcW w:w="1432" w:type="dxa"/>
            <w:noWrap/>
            <w:hideMark/>
          </w:tcPr>
          <w:p w14:paraId="3193F41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1407356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w:t>
            </w:r>
          </w:p>
        </w:tc>
        <w:tc>
          <w:tcPr>
            <w:tcW w:w="1089" w:type="dxa"/>
            <w:noWrap/>
            <w:hideMark/>
          </w:tcPr>
          <w:p w14:paraId="7398623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37FDDCB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373BA09E" w14:textId="77777777" w:rsidTr="00123B30">
        <w:trPr>
          <w:trHeight w:val="300"/>
        </w:trPr>
        <w:tc>
          <w:tcPr>
            <w:tcW w:w="1144" w:type="dxa"/>
            <w:noWrap/>
            <w:hideMark/>
          </w:tcPr>
          <w:p w14:paraId="6F62329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2006</w:t>
            </w:r>
          </w:p>
        </w:tc>
        <w:tc>
          <w:tcPr>
            <w:tcW w:w="1072" w:type="dxa"/>
            <w:noWrap/>
            <w:hideMark/>
          </w:tcPr>
          <w:p w14:paraId="253C7D8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29" w:type="dxa"/>
            <w:noWrap/>
            <w:hideMark/>
          </w:tcPr>
          <w:p w14:paraId="1CA8DC2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43</w:t>
            </w:r>
          </w:p>
        </w:tc>
        <w:tc>
          <w:tcPr>
            <w:tcW w:w="899" w:type="dxa"/>
            <w:noWrap/>
            <w:hideMark/>
          </w:tcPr>
          <w:p w14:paraId="1512361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76B197C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41</w:t>
            </w:r>
          </w:p>
        </w:tc>
        <w:tc>
          <w:tcPr>
            <w:tcW w:w="1432" w:type="dxa"/>
            <w:noWrap/>
            <w:hideMark/>
          </w:tcPr>
          <w:p w14:paraId="1618601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402B588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59F0FF4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18</w:t>
            </w:r>
          </w:p>
        </w:tc>
        <w:tc>
          <w:tcPr>
            <w:tcW w:w="782" w:type="dxa"/>
            <w:noWrap/>
            <w:hideMark/>
          </w:tcPr>
          <w:p w14:paraId="0D7E096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3C0618D1" w14:textId="77777777" w:rsidTr="00123B30">
        <w:trPr>
          <w:trHeight w:val="300"/>
        </w:trPr>
        <w:tc>
          <w:tcPr>
            <w:tcW w:w="1144" w:type="dxa"/>
            <w:noWrap/>
            <w:hideMark/>
          </w:tcPr>
          <w:p w14:paraId="058D8BF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2007</w:t>
            </w:r>
          </w:p>
        </w:tc>
        <w:tc>
          <w:tcPr>
            <w:tcW w:w="1072" w:type="dxa"/>
            <w:noWrap/>
            <w:hideMark/>
          </w:tcPr>
          <w:p w14:paraId="223F4FE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7</w:t>
            </w:r>
          </w:p>
        </w:tc>
        <w:tc>
          <w:tcPr>
            <w:tcW w:w="929" w:type="dxa"/>
            <w:noWrap/>
            <w:hideMark/>
          </w:tcPr>
          <w:p w14:paraId="71E9549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1F5E1DF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78B1282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3F5F728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4BB9B52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2E66982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30E77F2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0686D5A0" w14:textId="77777777" w:rsidTr="00123B30">
        <w:trPr>
          <w:trHeight w:val="300"/>
        </w:trPr>
        <w:tc>
          <w:tcPr>
            <w:tcW w:w="1144" w:type="dxa"/>
            <w:noWrap/>
            <w:hideMark/>
          </w:tcPr>
          <w:p w14:paraId="50F2EA5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2008</w:t>
            </w:r>
          </w:p>
        </w:tc>
        <w:tc>
          <w:tcPr>
            <w:tcW w:w="1072" w:type="dxa"/>
            <w:noWrap/>
            <w:hideMark/>
          </w:tcPr>
          <w:p w14:paraId="12159C7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9</w:t>
            </w:r>
          </w:p>
        </w:tc>
        <w:tc>
          <w:tcPr>
            <w:tcW w:w="929" w:type="dxa"/>
            <w:noWrap/>
            <w:hideMark/>
          </w:tcPr>
          <w:p w14:paraId="62217C2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39A4604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720E262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23DBC13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4090942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w:t>
            </w:r>
          </w:p>
        </w:tc>
        <w:tc>
          <w:tcPr>
            <w:tcW w:w="1089" w:type="dxa"/>
            <w:noWrap/>
            <w:hideMark/>
          </w:tcPr>
          <w:p w14:paraId="058F897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12</w:t>
            </w:r>
          </w:p>
        </w:tc>
        <w:tc>
          <w:tcPr>
            <w:tcW w:w="782" w:type="dxa"/>
            <w:noWrap/>
            <w:hideMark/>
          </w:tcPr>
          <w:p w14:paraId="6E9934A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37</w:t>
            </w:r>
          </w:p>
        </w:tc>
      </w:tr>
      <w:tr w:rsidR="00A237F8" w:rsidRPr="005119EF" w14:paraId="1DECF287" w14:textId="77777777" w:rsidTr="00123B30">
        <w:trPr>
          <w:trHeight w:val="300"/>
        </w:trPr>
        <w:tc>
          <w:tcPr>
            <w:tcW w:w="1144" w:type="dxa"/>
            <w:noWrap/>
            <w:hideMark/>
          </w:tcPr>
          <w:p w14:paraId="7DBE098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2009</w:t>
            </w:r>
          </w:p>
        </w:tc>
        <w:tc>
          <w:tcPr>
            <w:tcW w:w="1072" w:type="dxa"/>
            <w:noWrap/>
            <w:hideMark/>
          </w:tcPr>
          <w:p w14:paraId="7E7F846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w:t>
            </w:r>
          </w:p>
        </w:tc>
        <w:tc>
          <w:tcPr>
            <w:tcW w:w="929" w:type="dxa"/>
            <w:noWrap/>
            <w:hideMark/>
          </w:tcPr>
          <w:p w14:paraId="7D07955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26FA46A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6A74AF0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62</w:t>
            </w:r>
          </w:p>
        </w:tc>
        <w:tc>
          <w:tcPr>
            <w:tcW w:w="1432" w:type="dxa"/>
            <w:noWrap/>
            <w:hideMark/>
          </w:tcPr>
          <w:p w14:paraId="196CB61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w:t>
            </w:r>
          </w:p>
        </w:tc>
        <w:tc>
          <w:tcPr>
            <w:tcW w:w="1011" w:type="dxa"/>
            <w:noWrap/>
            <w:hideMark/>
          </w:tcPr>
          <w:p w14:paraId="7A92F39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w:t>
            </w:r>
          </w:p>
        </w:tc>
        <w:tc>
          <w:tcPr>
            <w:tcW w:w="1089" w:type="dxa"/>
            <w:noWrap/>
            <w:hideMark/>
          </w:tcPr>
          <w:p w14:paraId="7298A4A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6</w:t>
            </w:r>
          </w:p>
        </w:tc>
        <w:tc>
          <w:tcPr>
            <w:tcW w:w="782" w:type="dxa"/>
            <w:noWrap/>
            <w:hideMark/>
          </w:tcPr>
          <w:p w14:paraId="64F1739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17</w:t>
            </w:r>
          </w:p>
        </w:tc>
      </w:tr>
      <w:tr w:rsidR="00A237F8" w:rsidRPr="005119EF" w14:paraId="13346814" w14:textId="77777777" w:rsidTr="00123B30">
        <w:trPr>
          <w:trHeight w:val="300"/>
        </w:trPr>
        <w:tc>
          <w:tcPr>
            <w:tcW w:w="1144" w:type="dxa"/>
            <w:noWrap/>
            <w:hideMark/>
          </w:tcPr>
          <w:p w14:paraId="2620EA2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2010</w:t>
            </w:r>
          </w:p>
        </w:tc>
        <w:tc>
          <w:tcPr>
            <w:tcW w:w="1072" w:type="dxa"/>
            <w:noWrap/>
            <w:hideMark/>
          </w:tcPr>
          <w:p w14:paraId="57C2B99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w:t>
            </w:r>
          </w:p>
        </w:tc>
        <w:tc>
          <w:tcPr>
            <w:tcW w:w="929" w:type="dxa"/>
            <w:noWrap/>
            <w:hideMark/>
          </w:tcPr>
          <w:p w14:paraId="6456F29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76A5FDD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590849F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23</w:t>
            </w:r>
          </w:p>
        </w:tc>
        <w:tc>
          <w:tcPr>
            <w:tcW w:w="1432" w:type="dxa"/>
            <w:noWrap/>
            <w:hideMark/>
          </w:tcPr>
          <w:p w14:paraId="2E0B7F4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0A1F614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70E38C0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647FBAF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4FB0BEFA" w14:textId="77777777" w:rsidTr="00123B30">
        <w:trPr>
          <w:trHeight w:val="300"/>
        </w:trPr>
        <w:tc>
          <w:tcPr>
            <w:tcW w:w="1144" w:type="dxa"/>
            <w:noWrap/>
            <w:hideMark/>
          </w:tcPr>
          <w:p w14:paraId="5C8992A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2011</w:t>
            </w:r>
          </w:p>
        </w:tc>
        <w:tc>
          <w:tcPr>
            <w:tcW w:w="1072" w:type="dxa"/>
            <w:noWrap/>
            <w:hideMark/>
          </w:tcPr>
          <w:p w14:paraId="24CB937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85</w:t>
            </w:r>
          </w:p>
        </w:tc>
        <w:tc>
          <w:tcPr>
            <w:tcW w:w="929" w:type="dxa"/>
            <w:noWrap/>
            <w:hideMark/>
          </w:tcPr>
          <w:p w14:paraId="30E4252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3B7301F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4620548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27</w:t>
            </w:r>
          </w:p>
        </w:tc>
        <w:tc>
          <w:tcPr>
            <w:tcW w:w="1432" w:type="dxa"/>
            <w:noWrap/>
            <w:hideMark/>
          </w:tcPr>
          <w:p w14:paraId="61577E0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748BD61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33A05B7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27</w:t>
            </w:r>
          </w:p>
        </w:tc>
        <w:tc>
          <w:tcPr>
            <w:tcW w:w="782" w:type="dxa"/>
            <w:noWrap/>
            <w:hideMark/>
          </w:tcPr>
          <w:p w14:paraId="29E19F8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05B9E883" w14:textId="77777777" w:rsidTr="00123B30">
        <w:trPr>
          <w:trHeight w:val="300"/>
        </w:trPr>
        <w:tc>
          <w:tcPr>
            <w:tcW w:w="1144" w:type="dxa"/>
            <w:noWrap/>
            <w:hideMark/>
          </w:tcPr>
          <w:p w14:paraId="4A9B4F9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2012</w:t>
            </w:r>
          </w:p>
        </w:tc>
        <w:tc>
          <w:tcPr>
            <w:tcW w:w="1072" w:type="dxa"/>
            <w:noWrap/>
            <w:hideMark/>
          </w:tcPr>
          <w:p w14:paraId="434A2F3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11</w:t>
            </w:r>
          </w:p>
        </w:tc>
        <w:tc>
          <w:tcPr>
            <w:tcW w:w="929" w:type="dxa"/>
            <w:noWrap/>
            <w:hideMark/>
          </w:tcPr>
          <w:p w14:paraId="10027AD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6</w:t>
            </w:r>
          </w:p>
        </w:tc>
        <w:tc>
          <w:tcPr>
            <w:tcW w:w="899" w:type="dxa"/>
            <w:noWrap/>
            <w:hideMark/>
          </w:tcPr>
          <w:p w14:paraId="4A2F81D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8</w:t>
            </w:r>
          </w:p>
        </w:tc>
        <w:tc>
          <w:tcPr>
            <w:tcW w:w="992" w:type="dxa"/>
            <w:noWrap/>
            <w:hideMark/>
          </w:tcPr>
          <w:p w14:paraId="1B94F8F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w:t>
            </w:r>
          </w:p>
        </w:tc>
        <w:tc>
          <w:tcPr>
            <w:tcW w:w="1432" w:type="dxa"/>
            <w:noWrap/>
            <w:hideMark/>
          </w:tcPr>
          <w:p w14:paraId="3D20BA4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2B96403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3E2AF17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w:t>
            </w:r>
          </w:p>
        </w:tc>
        <w:tc>
          <w:tcPr>
            <w:tcW w:w="782" w:type="dxa"/>
            <w:noWrap/>
            <w:hideMark/>
          </w:tcPr>
          <w:p w14:paraId="107F7BB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57C1EBD3" w14:textId="77777777" w:rsidTr="00123B30">
        <w:trPr>
          <w:trHeight w:val="300"/>
        </w:trPr>
        <w:tc>
          <w:tcPr>
            <w:tcW w:w="1144" w:type="dxa"/>
            <w:noWrap/>
            <w:hideMark/>
          </w:tcPr>
          <w:p w14:paraId="4819929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2013</w:t>
            </w:r>
          </w:p>
        </w:tc>
        <w:tc>
          <w:tcPr>
            <w:tcW w:w="1072" w:type="dxa"/>
            <w:noWrap/>
            <w:hideMark/>
          </w:tcPr>
          <w:p w14:paraId="1818F8F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26</w:t>
            </w:r>
          </w:p>
        </w:tc>
        <w:tc>
          <w:tcPr>
            <w:tcW w:w="929" w:type="dxa"/>
            <w:noWrap/>
            <w:hideMark/>
          </w:tcPr>
          <w:p w14:paraId="1113838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34A9B88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6E1998E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670C42D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w:t>
            </w:r>
          </w:p>
        </w:tc>
        <w:tc>
          <w:tcPr>
            <w:tcW w:w="1011" w:type="dxa"/>
            <w:noWrap/>
            <w:hideMark/>
          </w:tcPr>
          <w:p w14:paraId="5C6D196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47</w:t>
            </w:r>
          </w:p>
        </w:tc>
        <w:tc>
          <w:tcPr>
            <w:tcW w:w="1089" w:type="dxa"/>
            <w:noWrap/>
            <w:hideMark/>
          </w:tcPr>
          <w:p w14:paraId="60757D4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120</w:t>
            </w:r>
          </w:p>
        </w:tc>
        <w:tc>
          <w:tcPr>
            <w:tcW w:w="782" w:type="dxa"/>
            <w:noWrap/>
            <w:hideMark/>
          </w:tcPr>
          <w:p w14:paraId="16550C3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6010B7D9" w14:textId="77777777" w:rsidTr="00123B30">
        <w:trPr>
          <w:trHeight w:val="300"/>
        </w:trPr>
        <w:tc>
          <w:tcPr>
            <w:tcW w:w="1144" w:type="dxa"/>
            <w:noWrap/>
            <w:hideMark/>
          </w:tcPr>
          <w:p w14:paraId="4580DBB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2014</w:t>
            </w:r>
          </w:p>
        </w:tc>
        <w:tc>
          <w:tcPr>
            <w:tcW w:w="1072" w:type="dxa"/>
            <w:noWrap/>
            <w:hideMark/>
          </w:tcPr>
          <w:p w14:paraId="7B78C73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w:t>
            </w:r>
          </w:p>
        </w:tc>
        <w:tc>
          <w:tcPr>
            <w:tcW w:w="929" w:type="dxa"/>
            <w:noWrap/>
            <w:hideMark/>
          </w:tcPr>
          <w:p w14:paraId="637EEEA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14</w:t>
            </w:r>
          </w:p>
        </w:tc>
        <w:tc>
          <w:tcPr>
            <w:tcW w:w="899" w:type="dxa"/>
            <w:noWrap/>
            <w:hideMark/>
          </w:tcPr>
          <w:p w14:paraId="17976C7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2729EB1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0E2D094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70CACC6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2F1067C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25</w:t>
            </w:r>
          </w:p>
        </w:tc>
        <w:tc>
          <w:tcPr>
            <w:tcW w:w="782" w:type="dxa"/>
            <w:noWrap/>
            <w:hideMark/>
          </w:tcPr>
          <w:p w14:paraId="236B225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30D7FBDC" w14:textId="77777777" w:rsidTr="00123B30">
        <w:trPr>
          <w:trHeight w:val="300"/>
        </w:trPr>
        <w:tc>
          <w:tcPr>
            <w:tcW w:w="1144" w:type="dxa"/>
            <w:noWrap/>
            <w:hideMark/>
          </w:tcPr>
          <w:p w14:paraId="7C69D6A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2015</w:t>
            </w:r>
          </w:p>
        </w:tc>
        <w:tc>
          <w:tcPr>
            <w:tcW w:w="1072" w:type="dxa"/>
            <w:noWrap/>
            <w:hideMark/>
          </w:tcPr>
          <w:p w14:paraId="035D725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13</w:t>
            </w:r>
          </w:p>
        </w:tc>
        <w:tc>
          <w:tcPr>
            <w:tcW w:w="929" w:type="dxa"/>
            <w:noWrap/>
            <w:hideMark/>
          </w:tcPr>
          <w:p w14:paraId="32F7E57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6B2A139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483E652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1CBAF57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4B67927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5F6B074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99</w:t>
            </w:r>
          </w:p>
        </w:tc>
        <w:tc>
          <w:tcPr>
            <w:tcW w:w="782" w:type="dxa"/>
            <w:noWrap/>
            <w:hideMark/>
          </w:tcPr>
          <w:p w14:paraId="2803B23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48488DBE" w14:textId="77777777" w:rsidTr="00123B30">
        <w:trPr>
          <w:trHeight w:val="300"/>
        </w:trPr>
        <w:tc>
          <w:tcPr>
            <w:tcW w:w="1144" w:type="dxa"/>
            <w:noWrap/>
            <w:hideMark/>
          </w:tcPr>
          <w:p w14:paraId="68E5FCA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2016</w:t>
            </w:r>
          </w:p>
        </w:tc>
        <w:tc>
          <w:tcPr>
            <w:tcW w:w="1072" w:type="dxa"/>
            <w:noWrap/>
            <w:hideMark/>
          </w:tcPr>
          <w:p w14:paraId="5A19F1A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44</w:t>
            </w:r>
          </w:p>
        </w:tc>
        <w:tc>
          <w:tcPr>
            <w:tcW w:w="929" w:type="dxa"/>
            <w:noWrap/>
            <w:hideMark/>
          </w:tcPr>
          <w:p w14:paraId="30575CF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22975C4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23BB1D9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5C6B7DA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22C142C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6B2C43A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1C2B682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3F600276" w14:textId="77777777" w:rsidTr="00123B30">
        <w:trPr>
          <w:trHeight w:val="300"/>
        </w:trPr>
        <w:tc>
          <w:tcPr>
            <w:tcW w:w="1144" w:type="dxa"/>
            <w:noWrap/>
            <w:hideMark/>
          </w:tcPr>
          <w:p w14:paraId="2272947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2017</w:t>
            </w:r>
          </w:p>
        </w:tc>
        <w:tc>
          <w:tcPr>
            <w:tcW w:w="1072" w:type="dxa"/>
            <w:noWrap/>
            <w:hideMark/>
          </w:tcPr>
          <w:p w14:paraId="20B7001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13</w:t>
            </w:r>
          </w:p>
        </w:tc>
        <w:tc>
          <w:tcPr>
            <w:tcW w:w="929" w:type="dxa"/>
            <w:noWrap/>
            <w:hideMark/>
          </w:tcPr>
          <w:p w14:paraId="278B17D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13</w:t>
            </w:r>
          </w:p>
        </w:tc>
        <w:tc>
          <w:tcPr>
            <w:tcW w:w="899" w:type="dxa"/>
            <w:noWrap/>
            <w:hideMark/>
          </w:tcPr>
          <w:p w14:paraId="1E1DA63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13</w:t>
            </w:r>
          </w:p>
        </w:tc>
        <w:tc>
          <w:tcPr>
            <w:tcW w:w="992" w:type="dxa"/>
            <w:noWrap/>
            <w:hideMark/>
          </w:tcPr>
          <w:p w14:paraId="727F288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8</w:t>
            </w:r>
          </w:p>
        </w:tc>
        <w:tc>
          <w:tcPr>
            <w:tcW w:w="1432" w:type="dxa"/>
            <w:noWrap/>
            <w:hideMark/>
          </w:tcPr>
          <w:p w14:paraId="1343CAD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32</w:t>
            </w:r>
          </w:p>
        </w:tc>
        <w:tc>
          <w:tcPr>
            <w:tcW w:w="1011" w:type="dxa"/>
            <w:noWrap/>
            <w:hideMark/>
          </w:tcPr>
          <w:p w14:paraId="2AC992A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120C6791"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97</w:t>
            </w:r>
          </w:p>
        </w:tc>
        <w:tc>
          <w:tcPr>
            <w:tcW w:w="782" w:type="dxa"/>
            <w:noWrap/>
            <w:hideMark/>
          </w:tcPr>
          <w:p w14:paraId="00EDD70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5D1A6D5F" w14:textId="77777777" w:rsidTr="00123B30">
        <w:trPr>
          <w:trHeight w:val="300"/>
        </w:trPr>
        <w:tc>
          <w:tcPr>
            <w:tcW w:w="1144" w:type="dxa"/>
            <w:noWrap/>
            <w:hideMark/>
          </w:tcPr>
          <w:p w14:paraId="614B428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2018</w:t>
            </w:r>
          </w:p>
        </w:tc>
        <w:tc>
          <w:tcPr>
            <w:tcW w:w="1072" w:type="dxa"/>
            <w:noWrap/>
            <w:hideMark/>
          </w:tcPr>
          <w:p w14:paraId="1F45372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54</w:t>
            </w:r>
          </w:p>
        </w:tc>
        <w:tc>
          <w:tcPr>
            <w:tcW w:w="929" w:type="dxa"/>
            <w:noWrap/>
            <w:hideMark/>
          </w:tcPr>
          <w:p w14:paraId="3D61866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w:t>
            </w:r>
          </w:p>
        </w:tc>
        <w:tc>
          <w:tcPr>
            <w:tcW w:w="899" w:type="dxa"/>
            <w:noWrap/>
            <w:hideMark/>
          </w:tcPr>
          <w:p w14:paraId="616E9A0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6B16D7C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4</w:t>
            </w:r>
          </w:p>
        </w:tc>
        <w:tc>
          <w:tcPr>
            <w:tcW w:w="1432" w:type="dxa"/>
            <w:noWrap/>
            <w:hideMark/>
          </w:tcPr>
          <w:p w14:paraId="665FD436"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055D186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5F7CDEE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548067C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w:t>
            </w:r>
          </w:p>
        </w:tc>
      </w:tr>
      <w:tr w:rsidR="00A237F8" w:rsidRPr="005119EF" w14:paraId="156DFC02" w14:textId="77777777" w:rsidTr="00123B30">
        <w:trPr>
          <w:trHeight w:val="300"/>
        </w:trPr>
        <w:tc>
          <w:tcPr>
            <w:tcW w:w="1144" w:type="dxa"/>
            <w:noWrap/>
            <w:hideMark/>
          </w:tcPr>
          <w:p w14:paraId="59E2D02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2019</w:t>
            </w:r>
          </w:p>
        </w:tc>
        <w:tc>
          <w:tcPr>
            <w:tcW w:w="1072" w:type="dxa"/>
            <w:noWrap/>
            <w:hideMark/>
          </w:tcPr>
          <w:p w14:paraId="6D58E8B8"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9</w:t>
            </w:r>
          </w:p>
        </w:tc>
        <w:tc>
          <w:tcPr>
            <w:tcW w:w="929" w:type="dxa"/>
            <w:noWrap/>
            <w:hideMark/>
          </w:tcPr>
          <w:p w14:paraId="06E4D8A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1458313F"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166608AB"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6367463C"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3</w:t>
            </w:r>
          </w:p>
        </w:tc>
        <w:tc>
          <w:tcPr>
            <w:tcW w:w="1011" w:type="dxa"/>
            <w:noWrap/>
            <w:hideMark/>
          </w:tcPr>
          <w:p w14:paraId="0BFE5BE5"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114</w:t>
            </w:r>
          </w:p>
        </w:tc>
        <w:tc>
          <w:tcPr>
            <w:tcW w:w="1089" w:type="dxa"/>
            <w:noWrap/>
            <w:hideMark/>
          </w:tcPr>
          <w:p w14:paraId="3818097A"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58</w:t>
            </w:r>
          </w:p>
        </w:tc>
        <w:tc>
          <w:tcPr>
            <w:tcW w:w="782" w:type="dxa"/>
            <w:noWrap/>
            <w:hideMark/>
          </w:tcPr>
          <w:p w14:paraId="0D306A62"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r>
      <w:tr w:rsidR="00A237F8" w:rsidRPr="005119EF" w14:paraId="226B7FCB" w14:textId="77777777" w:rsidTr="00123B30">
        <w:trPr>
          <w:trHeight w:val="300"/>
        </w:trPr>
        <w:tc>
          <w:tcPr>
            <w:tcW w:w="1144" w:type="dxa"/>
            <w:noWrap/>
            <w:hideMark/>
          </w:tcPr>
          <w:p w14:paraId="37699A5D"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2020</w:t>
            </w:r>
          </w:p>
        </w:tc>
        <w:tc>
          <w:tcPr>
            <w:tcW w:w="1072" w:type="dxa"/>
            <w:noWrap/>
            <w:hideMark/>
          </w:tcPr>
          <w:p w14:paraId="6953C01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75</w:t>
            </w:r>
          </w:p>
        </w:tc>
        <w:tc>
          <w:tcPr>
            <w:tcW w:w="929" w:type="dxa"/>
            <w:noWrap/>
            <w:hideMark/>
          </w:tcPr>
          <w:p w14:paraId="4CFE3309"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899" w:type="dxa"/>
            <w:noWrap/>
            <w:hideMark/>
          </w:tcPr>
          <w:p w14:paraId="4EF8CEF0"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992" w:type="dxa"/>
            <w:noWrap/>
            <w:hideMark/>
          </w:tcPr>
          <w:p w14:paraId="3A27B1E4"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432" w:type="dxa"/>
            <w:noWrap/>
            <w:hideMark/>
          </w:tcPr>
          <w:p w14:paraId="1FE05677"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11" w:type="dxa"/>
            <w:noWrap/>
            <w:hideMark/>
          </w:tcPr>
          <w:p w14:paraId="7C61D68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1089" w:type="dxa"/>
            <w:noWrap/>
            <w:hideMark/>
          </w:tcPr>
          <w:p w14:paraId="506F6423"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0</w:t>
            </w:r>
          </w:p>
        </w:tc>
        <w:tc>
          <w:tcPr>
            <w:tcW w:w="782" w:type="dxa"/>
            <w:noWrap/>
            <w:hideMark/>
          </w:tcPr>
          <w:p w14:paraId="5C6178FE" w14:textId="77777777" w:rsidR="00A237F8" w:rsidRPr="00123B30" w:rsidRDefault="00A237F8" w:rsidP="00123B30">
            <w:pPr>
              <w:jc w:val="right"/>
              <w:rPr>
                <w:rFonts w:ascii="Arial" w:eastAsia="Times New Roman" w:hAnsi="Arial" w:cs="Arial"/>
                <w:color w:val="000000"/>
                <w:sz w:val="18"/>
                <w:szCs w:val="18"/>
              </w:rPr>
            </w:pPr>
            <w:r w:rsidRPr="00123B30">
              <w:rPr>
                <w:rFonts w:ascii="Arial" w:eastAsia="Times New Roman" w:hAnsi="Arial" w:cs="Arial"/>
                <w:color w:val="000000"/>
                <w:sz w:val="18"/>
                <w:szCs w:val="18"/>
              </w:rPr>
              <w:t>14</w:t>
            </w:r>
          </w:p>
        </w:tc>
      </w:tr>
    </w:tbl>
    <w:p w14:paraId="11124838" w14:textId="77777777" w:rsidR="00A237F8" w:rsidRDefault="00A237F8" w:rsidP="00A237F8">
      <w:pPr>
        <w:rPr>
          <w:rFonts w:ascii="Arial" w:hAnsi="Arial" w:cs="Arial"/>
        </w:rPr>
      </w:pPr>
    </w:p>
    <w:p w14:paraId="0BDE2BBB" w14:textId="504A7CC5" w:rsidR="00755390" w:rsidRDefault="00755390" w:rsidP="00A237F8">
      <w:pPr>
        <w:rPr>
          <w:rFonts w:ascii="Arial" w:hAnsi="Arial" w:cs="Arial"/>
        </w:rPr>
      </w:pPr>
      <w:r>
        <w:rPr>
          <w:rFonts w:ascii="Arial" w:hAnsi="Arial" w:cs="Arial"/>
        </w:rPr>
        <w:t>Supplementary Material – 2</w:t>
      </w:r>
    </w:p>
    <w:p w14:paraId="54A1754C" w14:textId="7F1743EF" w:rsidR="00755390" w:rsidRPr="00123B30" w:rsidRDefault="00755390" w:rsidP="00755390">
      <w:pPr>
        <w:pStyle w:val="FigureTableTitle1"/>
        <w:rPr>
          <w:rFonts w:ascii="Arial" w:hAnsi="Arial" w:cs="Arial"/>
        </w:rPr>
      </w:pPr>
      <w:r w:rsidRPr="00123B30">
        <w:rPr>
          <w:rFonts w:ascii="Arial" w:hAnsi="Arial" w:cs="Arial"/>
          <w:sz w:val="22"/>
          <w:szCs w:val="22"/>
        </w:rPr>
        <w:t xml:space="preserve">List of publications used in </w:t>
      </w:r>
      <w:r w:rsidRPr="00282ECA">
        <w:rPr>
          <w:rFonts w:ascii="Arial" w:hAnsi="Arial" w:cs="Arial"/>
          <w:sz w:val="22"/>
          <w:szCs w:val="22"/>
        </w:rPr>
        <w:t>of outcomes of control and monitoring of a widespread riparian invader (</w:t>
      </w:r>
      <w:proofErr w:type="spellStart"/>
      <w:r w:rsidRPr="00123B30">
        <w:rPr>
          <w:rFonts w:ascii="Arial" w:hAnsi="Arial" w:cs="Arial"/>
          <w:i/>
          <w:iCs w:val="0"/>
          <w:sz w:val="22"/>
          <w:szCs w:val="22"/>
        </w:rPr>
        <w:t>Tamarix</w:t>
      </w:r>
      <w:proofErr w:type="spellEnd"/>
      <w:r w:rsidRPr="00282ECA">
        <w:rPr>
          <w:rFonts w:ascii="Arial" w:hAnsi="Arial" w:cs="Arial"/>
          <w:sz w:val="22"/>
          <w:szCs w:val="22"/>
        </w:rPr>
        <w:t xml:space="preserve"> spp.), with digital object identifier (DOI) </w:t>
      </w:r>
      <w:r w:rsidRPr="00123B30">
        <w:rPr>
          <w:rFonts w:ascii="Arial" w:hAnsi="Arial" w:cs="Arial"/>
          <w:sz w:val="22"/>
          <w:szCs w:val="22"/>
        </w:rPr>
        <w:t xml:space="preserve">or </w:t>
      </w:r>
      <w:proofErr w:type="gramStart"/>
      <w:r w:rsidRPr="00123B30">
        <w:rPr>
          <w:rFonts w:ascii="Arial" w:hAnsi="Arial" w:cs="Arial"/>
          <w:sz w:val="22"/>
          <w:szCs w:val="22"/>
        </w:rPr>
        <w:t>other</w:t>
      </w:r>
      <w:proofErr w:type="gramEnd"/>
      <w:r w:rsidRPr="00123B30">
        <w:rPr>
          <w:rFonts w:ascii="Arial" w:hAnsi="Arial" w:cs="Arial"/>
          <w:sz w:val="22"/>
          <w:szCs w:val="22"/>
        </w:rPr>
        <w:t xml:space="preserve"> identifier listed for each source. Columns 4-6 identify whether a source was used in each tier of analysis (see methods). </w:t>
      </w:r>
    </w:p>
    <w:p w14:paraId="52C316CA" w14:textId="77777777" w:rsidR="00755390" w:rsidRDefault="00755390" w:rsidP="00A237F8">
      <w:pPr>
        <w:rPr>
          <w:rFonts w:ascii="Arial" w:hAnsi="Arial" w:cs="Arial"/>
        </w:rPr>
      </w:pPr>
    </w:p>
    <w:p w14:paraId="701C6ADC" w14:textId="77777777" w:rsidR="00755390" w:rsidRDefault="00755390" w:rsidP="00A237F8">
      <w:pPr>
        <w:rPr>
          <w:rFonts w:ascii="Arial" w:hAnsi="Arial" w:cs="Arial"/>
        </w:rPr>
      </w:pPr>
    </w:p>
    <w:p w14:paraId="7642E34F" w14:textId="77777777" w:rsidR="00755390" w:rsidRDefault="00755390" w:rsidP="00A237F8">
      <w:pPr>
        <w:rPr>
          <w:rFonts w:ascii="Arial" w:hAnsi="Arial" w:cs="Arial"/>
        </w:rPr>
      </w:pPr>
    </w:p>
    <w:p w14:paraId="2B6DFE9B" w14:textId="77777777" w:rsidR="00755390" w:rsidRDefault="00755390" w:rsidP="00A237F8">
      <w:pPr>
        <w:rPr>
          <w:rFonts w:ascii="Arial" w:hAnsi="Arial" w:cs="Arial"/>
        </w:rPr>
      </w:pPr>
    </w:p>
    <w:p w14:paraId="05694C09" w14:textId="77777777" w:rsidR="00A237F8" w:rsidRDefault="00A237F8" w:rsidP="00A237F8">
      <w:pPr>
        <w:rPr>
          <w:rFonts w:ascii="Arial" w:hAnsi="Arial" w:cs="Arial"/>
        </w:rPr>
      </w:pPr>
      <w:r>
        <w:rPr>
          <w:rFonts w:ascii="Arial" w:hAnsi="Arial" w:cs="Arial"/>
        </w:rPr>
        <w:lastRenderedPageBreak/>
        <w:t>References in Supplemental File</w:t>
      </w:r>
    </w:p>
    <w:p w14:paraId="62856CC4" w14:textId="4E8A4F39" w:rsidR="00B86144" w:rsidRPr="00B86144" w:rsidRDefault="002A3DA4" w:rsidP="00B86144">
      <w:pPr>
        <w:widowControl w:val="0"/>
        <w:autoSpaceDE w:val="0"/>
        <w:autoSpaceDN w:val="0"/>
        <w:adjustRightInd w:val="0"/>
        <w:spacing w:line="240" w:lineRule="auto"/>
        <w:ind w:left="480" w:hanging="480"/>
        <w:rPr>
          <w:rFonts w:ascii="Arial" w:hAnsi="Arial" w:cs="Arial"/>
          <w:noProof/>
          <w:szCs w:val="24"/>
        </w:rPr>
      </w:pPr>
      <w:r>
        <w:rPr>
          <w:rFonts w:ascii="Arial" w:hAnsi="Arial" w:cs="Arial"/>
        </w:rPr>
        <w:fldChar w:fldCharType="begin" w:fldLock="1"/>
      </w:r>
      <w:r>
        <w:rPr>
          <w:rFonts w:ascii="Arial" w:hAnsi="Arial" w:cs="Arial"/>
        </w:rPr>
        <w:instrText xml:space="preserve">ADDIN Mendeley Bibliography CSL_BIBLIOGRAPHY </w:instrText>
      </w:r>
      <w:r>
        <w:rPr>
          <w:rFonts w:ascii="Arial" w:hAnsi="Arial" w:cs="Arial"/>
        </w:rPr>
        <w:fldChar w:fldCharType="separate"/>
      </w:r>
      <w:r w:rsidR="00B86144" w:rsidRPr="00B86144">
        <w:rPr>
          <w:rFonts w:ascii="Arial" w:hAnsi="Arial" w:cs="Arial"/>
          <w:noProof/>
          <w:szCs w:val="24"/>
        </w:rPr>
        <w:t>Baum, B. R. 1967. Introduced and naturalized tamarisks in the United States and Canada (Tamaricaceae). Baileya: A Quarterly Journal of Horticultural Taxonomy 15:19.</w:t>
      </w:r>
    </w:p>
    <w:p w14:paraId="33AA8B39"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Bloodworth, B. R., P. B. Shafroth, A. A. Sher, R. B. Manners, D. W. Bean, M. J. Johnson, and O. Hinojosa-huerta. 2016. Tamarisk beetle (</w:t>
      </w:r>
      <w:r w:rsidRPr="00B86144">
        <w:rPr>
          <w:rFonts w:ascii="Arial" w:hAnsi="Arial" w:cs="Arial"/>
          <w:i/>
          <w:iCs/>
          <w:noProof/>
          <w:szCs w:val="24"/>
        </w:rPr>
        <w:t>Diorhabda</w:t>
      </w:r>
      <w:r w:rsidRPr="00B86144">
        <w:rPr>
          <w:rFonts w:ascii="Arial" w:hAnsi="Arial" w:cs="Arial"/>
          <w:noProof/>
          <w:szCs w:val="24"/>
        </w:rPr>
        <w:t xml:space="preserve"> spp.) in the Colorado River basin : synthesis of an expert panel forum. Pages 1–20.</w:t>
      </w:r>
    </w:p>
    <w:p w14:paraId="30ABD264"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Busch, D. E., and S. D. Smith. 1995. Mechanisms Associated With Decline of Woody Species in Riparian Ecosystems of the Southwestern U.S. Ecological Monographs 65:347–370.</w:t>
      </w:r>
    </w:p>
    <w:p w14:paraId="4AB30126"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Chew, M. 2009. The Monstering of Tamarisk: How Scientists made a Plant into a Problem. Journal of the History of Biology 42:231–266.</w:t>
      </w:r>
    </w:p>
    <w:p w14:paraId="503FD8D5"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Clark, L. B., A. L. Henry, R. Lave, N. F. Sayre, E. González, and A. A. Sher. 2019. Successful information exchange between restoration science and practice. Restoration Ecology 27:1241–1250.</w:t>
      </w:r>
    </w:p>
    <w:p w14:paraId="3C6E4EE7"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DeLoach, C. J., and R. I. Carruthers. 2001. Beetles sock it to saltcedar. Agricultural Research 49:23.</w:t>
      </w:r>
    </w:p>
    <w:p w14:paraId="6ED5C07E"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Everitt, B. L. 1980. Ecology of saltcedar-A plea for research. Environmental Geology 3:77–84.</w:t>
      </w:r>
    </w:p>
    <w:p w14:paraId="1946940B"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Friedman, J. M., G. T. Auble, P. B. Shafroth, M. L. Scott, M. F. Merigliano, M. D. Freehling, and E. R. Griffin. 2005. Dominance of non-native riparian trees in western USA. Biological Invasions 7:747–751.</w:t>
      </w:r>
    </w:p>
    <w:p w14:paraId="43AA1D9F"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Gaskin, J. F., and B. A. Schaal. 2003. Molecular phylogenetic investigation of U.S. invasive Tamarix. Systematic Botany 28:86–95.</w:t>
      </w:r>
    </w:p>
    <w:p w14:paraId="703F3C5E"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Glenn, E. P., and P. L. Nagler. 2005. Comparative ecophysiology of Tamarix ramosissima and native trees in western U.S. riparian zones. Journal of Arid Environments, 61 (3) pp. 419-446, 2005.</w:t>
      </w:r>
    </w:p>
    <w:p w14:paraId="44FBD9A9"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Goetz, A., I. Moffit, and A. A. Sher. 2022. Recovery of a native tree following removal of an invasive competitor with implications for endangered bird habitat. Biological Invasions 24:2769–2793.</w:t>
      </w:r>
    </w:p>
    <w:p w14:paraId="0CD9F773"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González, E., A. A. Sher, R. M. Anderson, R. F. Bay, D. W. Bean, G. J. Bissonnete, B. Bourgeois, D. J. Cooper, K. Dohrenwend, K. D. Eichhorst, H. El Waer, D. K. Kennard, R. Harms-Weissinger, A. L. Henry, L. J. Makarick, S. M. Ostoja, L. V. Reynolds, W. W. Robinson, and P. B. Shafroth. 2017. Vegetation response to invasive </w:t>
      </w:r>
      <w:r w:rsidRPr="00B86144">
        <w:rPr>
          <w:rFonts w:ascii="Arial" w:hAnsi="Arial" w:cs="Arial"/>
          <w:i/>
          <w:iCs/>
          <w:noProof/>
          <w:szCs w:val="24"/>
        </w:rPr>
        <w:t>Tamarix</w:t>
      </w:r>
      <w:r w:rsidRPr="00B86144">
        <w:rPr>
          <w:rFonts w:ascii="Arial" w:hAnsi="Arial" w:cs="Arial"/>
          <w:noProof/>
          <w:szCs w:val="24"/>
        </w:rPr>
        <w:t xml:space="preserve"> control in southwestern U.S. rivers: a collaborative study including 416 sites. Ecological Applications 27:1789–1804.</w:t>
      </w:r>
    </w:p>
    <w:p w14:paraId="20F69C18"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Harms, R. S., and R. D. Hiebert. 2006. Vegetation Response Following Invasive Tamarisk (Tamarix spp.) Removal and Implications for Riparian Restoration. Restoration Ecology 14:461.</w:t>
      </w:r>
    </w:p>
    <w:p w14:paraId="2FCF09BB"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Henry, A. L., E. González-Sargas, P. B. Shafroth, A. R. B. Goetz, and A. A. Sher. 2023. Functional stability of vegetation following biocontrol of an invasive riparian shrub. Biological Invasions 25:1133–1147.</w:t>
      </w:r>
    </w:p>
    <w:p w14:paraId="34B50993"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Nagler, P. L., T. Brown, K. R. Hultine, C. van Riper, D. W. Bean, P. E. Dennison, R. S. Murray, and E. P. Glenn. 2012. Regional scale impacts of </w:t>
      </w:r>
      <w:r w:rsidRPr="00B86144">
        <w:rPr>
          <w:rFonts w:ascii="Arial" w:hAnsi="Arial" w:cs="Arial"/>
          <w:i/>
          <w:iCs/>
          <w:noProof/>
          <w:szCs w:val="24"/>
        </w:rPr>
        <w:t>Tamarix</w:t>
      </w:r>
      <w:r w:rsidRPr="00B86144">
        <w:rPr>
          <w:rFonts w:ascii="Arial" w:hAnsi="Arial" w:cs="Arial"/>
          <w:noProof/>
          <w:szCs w:val="24"/>
        </w:rPr>
        <w:t xml:space="preserve"> leaf beetles (</w:t>
      </w:r>
      <w:r w:rsidRPr="00B86144">
        <w:rPr>
          <w:rFonts w:ascii="Arial" w:hAnsi="Arial" w:cs="Arial"/>
          <w:i/>
          <w:iCs/>
          <w:noProof/>
          <w:szCs w:val="24"/>
        </w:rPr>
        <w:t xml:space="preserve">Diorhabda </w:t>
      </w:r>
      <w:r w:rsidRPr="00B86144">
        <w:rPr>
          <w:rFonts w:ascii="Arial" w:hAnsi="Arial" w:cs="Arial"/>
          <w:i/>
          <w:iCs/>
          <w:noProof/>
          <w:szCs w:val="24"/>
        </w:rPr>
        <w:lastRenderedPageBreak/>
        <w:t>carinulata</w:t>
      </w:r>
      <w:r w:rsidRPr="00B86144">
        <w:rPr>
          <w:rFonts w:ascii="Arial" w:hAnsi="Arial" w:cs="Arial"/>
          <w:noProof/>
          <w:szCs w:val="24"/>
        </w:rPr>
        <w:t>) on the water availability of western U.S. rivers as determined by multi-scale remote sensing methods. Remote Sensing of Environment 118:227–240.</w:t>
      </w:r>
    </w:p>
    <w:p w14:paraId="203D208D"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Nagler, P. L., U. Nguyen, H. L. Bateman, C. J. Jarchow, E. P. Glenn, W. J. Waugh, and C. van Riper III. 2018. Northern tamarisk beetle (</w:t>
      </w:r>
      <w:r w:rsidRPr="00B86144">
        <w:rPr>
          <w:rFonts w:ascii="Arial" w:hAnsi="Arial" w:cs="Arial"/>
          <w:i/>
          <w:iCs/>
          <w:noProof/>
          <w:szCs w:val="24"/>
        </w:rPr>
        <w:t>Diorhabda carinulata</w:t>
      </w:r>
      <w:r w:rsidRPr="00B86144">
        <w:rPr>
          <w:rFonts w:ascii="Arial" w:hAnsi="Arial" w:cs="Arial"/>
          <w:noProof/>
          <w:szCs w:val="24"/>
        </w:rPr>
        <w:t>) and tamarisk (</w:t>
      </w:r>
      <w:r w:rsidRPr="00B86144">
        <w:rPr>
          <w:rFonts w:ascii="Arial" w:hAnsi="Arial" w:cs="Arial"/>
          <w:i/>
          <w:iCs/>
          <w:noProof/>
          <w:szCs w:val="24"/>
        </w:rPr>
        <w:t>Tamarix</w:t>
      </w:r>
      <w:r w:rsidRPr="00B86144">
        <w:rPr>
          <w:rFonts w:ascii="Arial" w:hAnsi="Arial" w:cs="Arial"/>
          <w:noProof/>
          <w:szCs w:val="24"/>
        </w:rPr>
        <w:t xml:space="preserve"> spp.) interactions in the Colorado River basin. Restoration Ecology 26:348–359.</w:t>
      </w:r>
    </w:p>
    <w:p w14:paraId="64167406"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Robinson, T. W. 1965. Spread and Areal Extent of Saltcedar [</w:t>
      </w:r>
      <w:r w:rsidRPr="00B86144">
        <w:rPr>
          <w:rFonts w:ascii="Arial" w:hAnsi="Arial" w:cs="Arial"/>
          <w:i/>
          <w:iCs/>
          <w:noProof/>
          <w:szCs w:val="24"/>
        </w:rPr>
        <w:t>Tamarix</w:t>
      </w:r>
      <w:r w:rsidRPr="00B86144">
        <w:rPr>
          <w:rFonts w:ascii="Arial" w:hAnsi="Arial" w:cs="Arial"/>
          <w:noProof/>
          <w:szCs w:val="24"/>
        </w:rPr>
        <w:t>] in the Western States. US Government Printing Office.</w:t>
      </w:r>
    </w:p>
    <w:p w14:paraId="4C6DE9DD"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Sala, O. E., W. K. Lauenroth, S. J. McNaughton, G. Rusch, Z. XinShi, H. A. Mooney, J. H. Cushman, E. Medina, and E. D. Schulze. 1996. Biodiversity and ecosystem functioning in grasslands. Functional roles of biodiversity: a global perspective.:129–149.</w:t>
      </w:r>
    </w:p>
    <w:p w14:paraId="2FB19B67"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Shafroth, P. B., and M. K. Briggs. 2008. Restoration Ecology and Invasive Riparian Plants: An Introduction to the Special Section on </w:t>
      </w:r>
      <w:r w:rsidRPr="00B86144">
        <w:rPr>
          <w:rFonts w:ascii="Arial" w:hAnsi="Arial" w:cs="Arial"/>
          <w:i/>
          <w:iCs/>
          <w:noProof/>
          <w:szCs w:val="24"/>
        </w:rPr>
        <w:t>Tamarix</w:t>
      </w:r>
      <w:r w:rsidRPr="00B86144">
        <w:rPr>
          <w:rFonts w:ascii="Arial" w:hAnsi="Arial" w:cs="Arial"/>
          <w:noProof/>
          <w:szCs w:val="24"/>
        </w:rPr>
        <w:t xml:space="preserve"> spp. in Western North America. Restoration Ecology 16:94–96.</w:t>
      </w:r>
    </w:p>
    <w:p w14:paraId="4BA38945"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Shafroth, P. B., C. A. Brown, and D. M. Merritt, editors. 2010. Saltcedar and Russian olive control demonstration act science assessment. U.S. Geological Survey Scientific Investigations Report 2009-5247. United States Geological Survey.</w:t>
      </w:r>
    </w:p>
    <w:p w14:paraId="5BD60783"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Shafroth, P. B., J. R. Cleverly, T. L. Dudley, J. P. Taylor, C. van Riper III, E. P. Weeks, and J. N. Stuart. 2005. Control of </w:t>
      </w:r>
      <w:r w:rsidRPr="00B86144">
        <w:rPr>
          <w:rFonts w:ascii="Arial" w:hAnsi="Arial" w:cs="Arial"/>
          <w:i/>
          <w:iCs/>
          <w:noProof/>
          <w:szCs w:val="24"/>
        </w:rPr>
        <w:t>Tamarix</w:t>
      </w:r>
      <w:r w:rsidRPr="00B86144">
        <w:rPr>
          <w:rFonts w:ascii="Arial" w:hAnsi="Arial" w:cs="Arial"/>
          <w:noProof/>
          <w:szCs w:val="24"/>
        </w:rPr>
        <w:t xml:space="preserve"> in the western United States: Implications for water salvage, wildlife use, and riparian restoration. Environmental Management 35:231–246.</w:t>
      </w:r>
    </w:p>
    <w:p w14:paraId="3CEB1890"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Sher, A. A., and D. L. Marshall. 2003. Seedling competition between native </w:t>
      </w:r>
      <w:r w:rsidRPr="00B86144">
        <w:rPr>
          <w:rFonts w:ascii="Arial" w:hAnsi="Arial" w:cs="Arial"/>
          <w:i/>
          <w:iCs/>
          <w:noProof/>
          <w:szCs w:val="24"/>
        </w:rPr>
        <w:t>Populus deltoides</w:t>
      </w:r>
      <w:r w:rsidRPr="00B86144">
        <w:rPr>
          <w:rFonts w:ascii="Arial" w:hAnsi="Arial" w:cs="Arial"/>
          <w:noProof/>
          <w:szCs w:val="24"/>
        </w:rPr>
        <w:t xml:space="preserve"> (Salicaceae) and exotic </w:t>
      </w:r>
      <w:r w:rsidRPr="00B86144">
        <w:rPr>
          <w:rFonts w:ascii="Arial" w:hAnsi="Arial" w:cs="Arial"/>
          <w:i/>
          <w:iCs/>
          <w:noProof/>
          <w:szCs w:val="24"/>
        </w:rPr>
        <w:t>Tamarix ramosissima</w:t>
      </w:r>
      <w:r w:rsidRPr="00B86144">
        <w:rPr>
          <w:rFonts w:ascii="Arial" w:hAnsi="Arial" w:cs="Arial"/>
          <w:noProof/>
          <w:szCs w:val="24"/>
        </w:rPr>
        <w:t xml:space="preserve"> (Tamaricaceae) across water regimes and substrate types. American Journal of Botany 90:413–422.</w:t>
      </w:r>
    </w:p>
    <w:p w14:paraId="221A1C57"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Sher, A. A., D. L. Marshall, and S. A. Gilbert. 2000. Competition between native </w:t>
      </w:r>
      <w:r w:rsidRPr="00B86144">
        <w:rPr>
          <w:rFonts w:ascii="Arial" w:hAnsi="Arial" w:cs="Arial"/>
          <w:i/>
          <w:iCs/>
          <w:noProof/>
          <w:szCs w:val="24"/>
        </w:rPr>
        <w:t>Populus deltoides</w:t>
      </w:r>
      <w:r w:rsidRPr="00B86144">
        <w:rPr>
          <w:rFonts w:ascii="Arial" w:hAnsi="Arial" w:cs="Arial"/>
          <w:noProof/>
          <w:szCs w:val="24"/>
        </w:rPr>
        <w:t xml:space="preserve"> and invasive </w:t>
      </w:r>
      <w:r w:rsidRPr="00B86144">
        <w:rPr>
          <w:rFonts w:ascii="Arial" w:hAnsi="Arial" w:cs="Arial"/>
          <w:i/>
          <w:iCs/>
          <w:noProof/>
          <w:szCs w:val="24"/>
        </w:rPr>
        <w:t>Tamarix ramosissima</w:t>
      </w:r>
      <w:r w:rsidRPr="00B86144">
        <w:rPr>
          <w:rFonts w:ascii="Arial" w:hAnsi="Arial" w:cs="Arial"/>
          <w:noProof/>
          <w:szCs w:val="24"/>
        </w:rPr>
        <w:t xml:space="preserve"> and the implications for reestablishing flooding disturbance. Conservation Biology 14:1744–1754.</w:t>
      </w:r>
    </w:p>
    <w:p w14:paraId="5EBDE8C8"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Sher, A. A., D. L. Marshall, and J. P. Taylor. 2002. Establishment patterns of native </w:t>
      </w:r>
      <w:r w:rsidRPr="00B86144">
        <w:rPr>
          <w:rFonts w:ascii="Arial" w:hAnsi="Arial" w:cs="Arial"/>
          <w:i/>
          <w:iCs/>
          <w:noProof/>
          <w:szCs w:val="24"/>
        </w:rPr>
        <w:t>Populus</w:t>
      </w:r>
      <w:r w:rsidRPr="00B86144">
        <w:rPr>
          <w:rFonts w:ascii="Arial" w:hAnsi="Arial" w:cs="Arial"/>
          <w:noProof/>
          <w:szCs w:val="24"/>
        </w:rPr>
        <w:t xml:space="preserve"> and </w:t>
      </w:r>
      <w:r w:rsidRPr="00B86144">
        <w:rPr>
          <w:rFonts w:ascii="Arial" w:hAnsi="Arial" w:cs="Arial"/>
          <w:i/>
          <w:iCs/>
          <w:noProof/>
          <w:szCs w:val="24"/>
        </w:rPr>
        <w:t>Salix</w:t>
      </w:r>
      <w:r w:rsidRPr="00B86144">
        <w:rPr>
          <w:rFonts w:ascii="Arial" w:hAnsi="Arial" w:cs="Arial"/>
          <w:noProof/>
          <w:szCs w:val="24"/>
        </w:rPr>
        <w:t xml:space="preserve"> in the presence of invasive nonnative </w:t>
      </w:r>
      <w:r w:rsidRPr="00B86144">
        <w:rPr>
          <w:rFonts w:ascii="Arial" w:hAnsi="Arial" w:cs="Arial"/>
          <w:i/>
          <w:iCs/>
          <w:noProof/>
          <w:szCs w:val="24"/>
        </w:rPr>
        <w:t>Tamarix</w:t>
      </w:r>
      <w:r w:rsidRPr="00B86144">
        <w:rPr>
          <w:rFonts w:ascii="Arial" w:hAnsi="Arial" w:cs="Arial"/>
          <w:noProof/>
          <w:szCs w:val="24"/>
        </w:rPr>
        <w:t>. Ecological Applications, 12 (3) pp. 760-772, 2002.</w:t>
      </w:r>
    </w:p>
    <w:p w14:paraId="36981CD2"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Sher, A. A., H. El Waer, E. González, R. Anderson, A. L. Henry, R. Biedron, and P. P. Yue. 2018. Native species recovery after reduction of an invasive tree by biological control with and without active removal. Ecological Engineering 111:167–175.</w:t>
      </w:r>
    </w:p>
    <w:p w14:paraId="049667CE"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Sher, A., and M. F. Quigley. 2013. </w:t>
      </w:r>
      <w:r w:rsidRPr="00B86144">
        <w:rPr>
          <w:rFonts w:ascii="Arial" w:hAnsi="Arial" w:cs="Arial"/>
          <w:i/>
          <w:iCs/>
          <w:noProof/>
          <w:szCs w:val="24"/>
        </w:rPr>
        <w:t>Tamarix </w:t>
      </w:r>
      <w:r w:rsidRPr="00B86144">
        <w:rPr>
          <w:rFonts w:ascii="Arial" w:hAnsi="Arial" w:cs="Arial"/>
          <w:noProof/>
          <w:szCs w:val="24"/>
        </w:rPr>
        <w:t>: a case study of ecological change in the American West. New York : Oxford University Press, New York.</w:t>
      </w:r>
    </w:p>
    <w:p w14:paraId="1918F034"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Stromberg, J. 1998. Dynamics of Fremont cottonwood (</w:t>
      </w:r>
      <w:r w:rsidRPr="00B86144">
        <w:rPr>
          <w:rFonts w:ascii="Arial" w:hAnsi="Arial" w:cs="Arial"/>
          <w:i/>
          <w:iCs/>
          <w:noProof/>
          <w:szCs w:val="24"/>
        </w:rPr>
        <w:t>Populus fremontii</w:t>
      </w:r>
      <w:r w:rsidRPr="00B86144">
        <w:rPr>
          <w:rFonts w:ascii="Arial" w:hAnsi="Arial" w:cs="Arial"/>
          <w:noProof/>
          <w:szCs w:val="24"/>
        </w:rPr>
        <w:t>) and saltcedar (</w:t>
      </w:r>
      <w:r w:rsidRPr="00B86144">
        <w:rPr>
          <w:rFonts w:ascii="Arial" w:hAnsi="Arial" w:cs="Arial"/>
          <w:i/>
          <w:iCs/>
          <w:noProof/>
          <w:szCs w:val="24"/>
        </w:rPr>
        <w:t>Tamarix chinensis</w:t>
      </w:r>
      <w:r w:rsidRPr="00B86144">
        <w:rPr>
          <w:rFonts w:ascii="Arial" w:hAnsi="Arial" w:cs="Arial"/>
          <w:noProof/>
          <w:szCs w:val="24"/>
        </w:rPr>
        <w:t>) populations along the San Pedro River, Arizona. Journal of Arid Environments 40:133–155.</w:t>
      </w:r>
    </w:p>
    <w:p w14:paraId="6CC3AE5D"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szCs w:val="24"/>
        </w:rPr>
      </w:pPr>
      <w:r w:rsidRPr="00B86144">
        <w:rPr>
          <w:rFonts w:ascii="Arial" w:hAnsi="Arial" w:cs="Arial"/>
          <w:noProof/>
          <w:szCs w:val="24"/>
        </w:rPr>
        <w:t xml:space="preserve">Stromberg, J. C., M. K. Chew, P. L. Nagler, and E. P. Glenn. 2009. Changing Perceptions of Change: The Role of Scientists in </w:t>
      </w:r>
      <w:r w:rsidRPr="00B86144">
        <w:rPr>
          <w:rFonts w:ascii="Arial" w:hAnsi="Arial" w:cs="Arial"/>
          <w:i/>
          <w:iCs/>
          <w:noProof/>
          <w:szCs w:val="24"/>
        </w:rPr>
        <w:t>Tamarix</w:t>
      </w:r>
      <w:r w:rsidRPr="00B86144">
        <w:rPr>
          <w:rFonts w:ascii="Arial" w:hAnsi="Arial" w:cs="Arial"/>
          <w:noProof/>
          <w:szCs w:val="24"/>
        </w:rPr>
        <w:t xml:space="preserve"> and River Management. Restoration Ecology 17:177–186.</w:t>
      </w:r>
    </w:p>
    <w:p w14:paraId="2A051DD2" w14:textId="77777777" w:rsidR="00B86144" w:rsidRPr="00B86144" w:rsidRDefault="00B86144" w:rsidP="00B86144">
      <w:pPr>
        <w:widowControl w:val="0"/>
        <w:autoSpaceDE w:val="0"/>
        <w:autoSpaceDN w:val="0"/>
        <w:adjustRightInd w:val="0"/>
        <w:spacing w:line="240" w:lineRule="auto"/>
        <w:ind w:left="480" w:hanging="480"/>
        <w:rPr>
          <w:rFonts w:ascii="Arial" w:hAnsi="Arial" w:cs="Arial"/>
          <w:noProof/>
        </w:rPr>
      </w:pPr>
      <w:r w:rsidRPr="00B86144">
        <w:rPr>
          <w:rFonts w:ascii="Arial" w:hAnsi="Arial" w:cs="Arial"/>
          <w:noProof/>
          <w:szCs w:val="24"/>
        </w:rPr>
        <w:t>Di Tomaso, J. M. 1998. Impact , Biology , and Ecology of Saltcedar (</w:t>
      </w:r>
      <w:r w:rsidRPr="00B86144">
        <w:rPr>
          <w:rFonts w:ascii="Arial" w:hAnsi="Arial" w:cs="Arial"/>
          <w:i/>
          <w:iCs/>
          <w:noProof/>
          <w:szCs w:val="24"/>
        </w:rPr>
        <w:t>Tamarix</w:t>
      </w:r>
      <w:r w:rsidRPr="00B86144">
        <w:rPr>
          <w:rFonts w:ascii="Arial" w:hAnsi="Arial" w:cs="Arial"/>
          <w:noProof/>
          <w:szCs w:val="24"/>
        </w:rPr>
        <w:t xml:space="preserve"> spp.) in the Southwestern United States. Weed Technology 12:326–336.</w:t>
      </w:r>
    </w:p>
    <w:p w14:paraId="3396B7E2" w14:textId="1D130CD8" w:rsidR="000E255E" w:rsidRPr="000046CE" w:rsidRDefault="002A3DA4">
      <w:pPr>
        <w:rPr>
          <w:rFonts w:ascii="Arial" w:hAnsi="Arial" w:cs="Arial"/>
        </w:rPr>
      </w:pPr>
      <w:r>
        <w:rPr>
          <w:rFonts w:ascii="Arial" w:hAnsi="Arial" w:cs="Arial"/>
        </w:rPr>
        <w:lastRenderedPageBreak/>
        <w:fldChar w:fldCharType="end"/>
      </w:r>
      <w:bookmarkEnd w:id="0"/>
    </w:p>
    <w:sectPr w:rsidR="000E255E" w:rsidRPr="000046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D2D06"/>
    <w:multiLevelType w:val="hybridMultilevel"/>
    <w:tmpl w:val="15F244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E3C16C3"/>
    <w:multiLevelType w:val="hybridMultilevel"/>
    <w:tmpl w:val="BA886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A770CA"/>
    <w:multiLevelType w:val="hybridMultilevel"/>
    <w:tmpl w:val="61B26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4745E4"/>
    <w:multiLevelType w:val="hybridMultilevel"/>
    <w:tmpl w:val="F3906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1565F5"/>
    <w:multiLevelType w:val="multilevel"/>
    <w:tmpl w:val="50623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AE6304"/>
    <w:multiLevelType w:val="hybridMultilevel"/>
    <w:tmpl w:val="CF5CB4B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DAD6678"/>
    <w:multiLevelType w:val="hybridMultilevel"/>
    <w:tmpl w:val="89D6454E"/>
    <w:lvl w:ilvl="0" w:tplc="84426484">
      <w:start w:val="1"/>
      <w:numFmt w:val="bullet"/>
      <w:pStyle w:val="ListParagraph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E910F83"/>
    <w:multiLevelType w:val="hybridMultilevel"/>
    <w:tmpl w:val="917CC210"/>
    <w:lvl w:ilvl="0" w:tplc="04090003">
      <w:start w:val="1"/>
      <w:numFmt w:val="bullet"/>
      <w:lvlText w:val="o"/>
      <w:lvlJc w:val="left"/>
      <w:pPr>
        <w:ind w:left="1140" w:hanging="360"/>
      </w:pPr>
      <w:rPr>
        <w:rFonts w:ascii="Courier New" w:hAnsi="Courier New" w:cs="Courier New"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8" w15:restartNumberingAfterBreak="0">
    <w:nsid w:val="445D62B6"/>
    <w:multiLevelType w:val="hybridMultilevel"/>
    <w:tmpl w:val="7D0CC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F85E4C"/>
    <w:multiLevelType w:val="hybridMultilevel"/>
    <w:tmpl w:val="64EE95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DF128B"/>
    <w:multiLevelType w:val="hybridMultilevel"/>
    <w:tmpl w:val="4968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7528F7"/>
    <w:multiLevelType w:val="hybridMultilevel"/>
    <w:tmpl w:val="00066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DE4384"/>
    <w:multiLevelType w:val="hybridMultilevel"/>
    <w:tmpl w:val="A5B45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DA17A4"/>
    <w:multiLevelType w:val="hybridMultilevel"/>
    <w:tmpl w:val="1C902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7A0DBA"/>
    <w:multiLevelType w:val="hybridMultilevel"/>
    <w:tmpl w:val="9EA6B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3843BA"/>
    <w:multiLevelType w:val="hybridMultilevel"/>
    <w:tmpl w:val="68423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7292905"/>
    <w:multiLevelType w:val="hybridMultilevel"/>
    <w:tmpl w:val="D15EA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C94BD9"/>
    <w:multiLevelType w:val="hybridMultilevel"/>
    <w:tmpl w:val="677EBBC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46778229">
    <w:abstractNumId w:val="7"/>
  </w:num>
  <w:num w:numId="2" w16cid:durableId="918179379">
    <w:abstractNumId w:val="5"/>
  </w:num>
  <w:num w:numId="3" w16cid:durableId="1061291992">
    <w:abstractNumId w:val="6"/>
  </w:num>
  <w:num w:numId="4" w16cid:durableId="182941284">
    <w:abstractNumId w:val="14"/>
  </w:num>
  <w:num w:numId="5" w16cid:durableId="772749762">
    <w:abstractNumId w:val="12"/>
  </w:num>
  <w:num w:numId="6" w16cid:durableId="2097092011">
    <w:abstractNumId w:val="8"/>
  </w:num>
  <w:num w:numId="7" w16cid:durableId="1787655919">
    <w:abstractNumId w:val="13"/>
  </w:num>
  <w:num w:numId="8" w16cid:durableId="330643705">
    <w:abstractNumId w:val="1"/>
  </w:num>
  <w:num w:numId="9" w16cid:durableId="1475757525">
    <w:abstractNumId w:val="16"/>
  </w:num>
  <w:num w:numId="10" w16cid:durableId="1138379282">
    <w:abstractNumId w:val="3"/>
  </w:num>
  <w:num w:numId="11" w16cid:durableId="1733041131">
    <w:abstractNumId w:val="17"/>
  </w:num>
  <w:num w:numId="12" w16cid:durableId="919483511">
    <w:abstractNumId w:val="10"/>
  </w:num>
  <w:num w:numId="13" w16cid:durableId="1802460461">
    <w:abstractNumId w:val="11"/>
  </w:num>
  <w:num w:numId="14" w16cid:durableId="1122918559">
    <w:abstractNumId w:val="2"/>
  </w:num>
  <w:num w:numId="15" w16cid:durableId="1826892801">
    <w:abstractNumId w:val="9"/>
  </w:num>
  <w:num w:numId="16" w16cid:durableId="312952400">
    <w:abstractNumId w:val="15"/>
  </w:num>
  <w:num w:numId="17" w16cid:durableId="456799057">
    <w:abstractNumId w:val="4"/>
  </w:num>
  <w:num w:numId="18" w16cid:durableId="383600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7F8"/>
    <w:rsid w:val="000046CE"/>
    <w:rsid w:val="000E255E"/>
    <w:rsid w:val="002A3DA4"/>
    <w:rsid w:val="006304AE"/>
    <w:rsid w:val="00755390"/>
    <w:rsid w:val="00792A95"/>
    <w:rsid w:val="009E1ABD"/>
    <w:rsid w:val="00A237F8"/>
    <w:rsid w:val="00B86144"/>
    <w:rsid w:val="00BE0BD0"/>
    <w:rsid w:val="00C447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262A9"/>
  <w15:chartTrackingRefBased/>
  <w15:docId w15:val="{1DFD93DC-B167-4022-942E-B6DD92C4B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7F8"/>
    <w:rPr>
      <w:kern w:val="0"/>
    </w:rPr>
  </w:style>
  <w:style w:type="paragraph" w:styleId="Heading1">
    <w:name w:val="heading 1"/>
    <w:basedOn w:val="Normal"/>
    <w:next w:val="Normal"/>
    <w:link w:val="Heading1Char"/>
    <w:uiPriority w:val="9"/>
    <w:qFormat/>
    <w:rsid w:val="00A237F8"/>
    <w:pPr>
      <w:keepNext/>
      <w:keepLines/>
      <w:spacing w:before="240" w:after="0"/>
      <w:outlineLvl w:val="0"/>
    </w:pPr>
    <w:rPr>
      <w:rFonts w:ascii="Times New Roman" w:hAnsi="Times New Roman" w:cs="Times New Roman"/>
      <w:b/>
      <w:sz w:val="24"/>
      <w:szCs w:val="24"/>
    </w:rPr>
  </w:style>
  <w:style w:type="paragraph" w:styleId="Heading2">
    <w:name w:val="heading 2"/>
    <w:basedOn w:val="Normal"/>
    <w:next w:val="Normal"/>
    <w:link w:val="Heading2Char"/>
    <w:uiPriority w:val="9"/>
    <w:semiHidden/>
    <w:unhideWhenUsed/>
    <w:qFormat/>
    <w:rsid w:val="00A237F8"/>
    <w:pPr>
      <w:keepNext/>
      <w:keepLines/>
      <w:spacing w:before="40" w:after="0"/>
      <w:outlineLvl w:val="1"/>
    </w:pPr>
    <w:rPr>
      <w:rFonts w:ascii="Times New Roman" w:eastAsia="Times New Roman" w:hAnsi="Times New Roman" w:cs="Times New Roman"/>
      <w:b/>
      <w:sz w:val="24"/>
      <w:szCs w:val="24"/>
    </w:rPr>
  </w:style>
  <w:style w:type="paragraph" w:styleId="Heading3">
    <w:name w:val="heading 3"/>
    <w:basedOn w:val="Normal"/>
    <w:next w:val="Normal"/>
    <w:link w:val="Heading3Char"/>
    <w:uiPriority w:val="9"/>
    <w:semiHidden/>
    <w:unhideWhenUsed/>
    <w:qFormat/>
    <w:rsid w:val="00A237F8"/>
    <w:pPr>
      <w:keepNext/>
      <w:keepLines/>
      <w:spacing w:before="40" w:after="0"/>
      <w:outlineLvl w:val="2"/>
    </w:pPr>
    <w:rPr>
      <w:rFonts w:ascii="Times New Roman" w:eastAsia="Times New Roman" w:hAnsi="Times New Roman" w:cs="Times New Roman"/>
      <w:b/>
      <w:sz w:val="24"/>
      <w:szCs w:val="24"/>
    </w:rPr>
  </w:style>
  <w:style w:type="paragraph" w:styleId="Heading4">
    <w:name w:val="heading 4"/>
    <w:basedOn w:val="Normal"/>
    <w:next w:val="Normal"/>
    <w:link w:val="Heading4Char"/>
    <w:uiPriority w:val="9"/>
    <w:semiHidden/>
    <w:unhideWhenUsed/>
    <w:qFormat/>
    <w:rsid w:val="00A237F8"/>
    <w:pPr>
      <w:keepNext/>
      <w:keepLines/>
      <w:spacing w:before="40" w:after="0"/>
      <w:outlineLvl w:val="3"/>
    </w:pPr>
    <w:rPr>
      <w:rFonts w:ascii="Times New Roman" w:eastAsia="Times New Roman" w:hAnsi="Times New Roman" w:cs="Times New Roman"/>
      <w:b/>
      <w:i/>
      <w:iCs/>
      <w:sz w:val="24"/>
      <w:szCs w:val="24"/>
    </w:rPr>
  </w:style>
  <w:style w:type="paragraph" w:styleId="Heading5">
    <w:name w:val="heading 5"/>
    <w:basedOn w:val="Normal"/>
    <w:next w:val="Normal"/>
    <w:link w:val="Heading5Char"/>
    <w:uiPriority w:val="9"/>
    <w:semiHidden/>
    <w:unhideWhenUsed/>
    <w:qFormat/>
    <w:rsid w:val="00A237F8"/>
    <w:pPr>
      <w:keepNext/>
      <w:keepLines/>
      <w:spacing w:before="40" w:after="0"/>
      <w:outlineLvl w:val="4"/>
    </w:pPr>
    <w:rPr>
      <w:rFonts w:ascii="Times New Roman" w:eastAsia="Times New Roman" w:hAnsi="Times New Roman" w:cs="Times New Roman"/>
      <w:i/>
      <w:sz w:val="24"/>
      <w:szCs w:val="24"/>
    </w:rPr>
  </w:style>
  <w:style w:type="paragraph" w:styleId="Heading6">
    <w:name w:val="heading 6"/>
    <w:basedOn w:val="Normal"/>
    <w:next w:val="Normal"/>
    <w:link w:val="Heading6Char"/>
    <w:uiPriority w:val="9"/>
    <w:semiHidden/>
    <w:unhideWhenUsed/>
    <w:qFormat/>
    <w:rsid w:val="00A237F8"/>
    <w:pPr>
      <w:keepNext/>
      <w:keepLines/>
      <w:spacing w:before="40" w:after="0"/>
      <w:outlineLvl w:val="5"/>
    </w:pPr>
    <w:rPr>
      <w:rFonts w:ascii="Times New Roman" w:hAnsi="Times New Roman" w:cs="Times New Roman"/>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37F8"/>
    <w:rPr>
      <w:rFonts w:ascii="Times New Roman" w:hAnsi="Times New Roman" w:cs="Times New Roman"/>
      <w:b/>
      <w:kern w:val="0"/>
      <w:sz w:val="24"/>
      <w:szCs w:val="24"/>
    </w:rPr>
  </w:style>
  <w:style w:type="character" w:customStyle="1" w:styleId="Heading2Char">
    <w:name w:val="Heading 2 Char"/>
    <w:basedOn w:val="DefaultParagraphFont"/>
    <w:link w:val="Heading2"/>
    <w:uiPriority w:val="9"/>
    <w:semiHidden/>
    <w:rsid w:val="00A237F8"/>
    <w:rPr>
      <w:rFonts w:ascii="Times New Roman" w:eastAsia="Times New Roman" w:hAnsi="Times New Roman" w:cs="Times New Roman"/>
      <w:b/>
      <w:kern w:val="0"/>
      <w:sz w:val="24"/>
      <w:szCs w:val="24"/>
    </w:rPr>
  </w:style>
  <w:style w:type="character" w:customStyle="1" w:styleId="Heading3Char">
    <w:name w:val="Heading 3 Char"/>
    <w:basedOn w:val="DefaultParagraphFont"/>
    <w:link w:val="Heading3"/>
    <w:uiPriority w:val="9"/>
    <w:semiHidden/>
    <w:rsid w:val="00A237F8"/>
    <w:rPr>
      <w:rFonts w:ascii="Times New Roman" w:eastAsia="Times New Roman" w:hAnsi="Times New Roman" w:cs="Times New Roman"/>
      <w:b/>
      <w:kern w:val="0"/>
      <w:sz w:val="24"/>
      <w:szCs w:val="24"/>
    </w:rPr>
  </w:style>
  <w:style w:type="character" w:customStyle="1" w:styleId="Heading4Char">
    <w:name w:val="Heading 4 Char"/>
    <w:basedOn w:val="DefaultParagraphFont"/>
    <w:link w:val="Heading4"/>
    <w:uiPriority w:val="9"/>
    <w:semiHidden/>
    <w:rsid w:val="00A237F8"/>
    <w:rPr>
      <w:rFonts w:ascii="Times New Roman" w:eastAsia="Times New Roman" w:hAnsi="Times New Roman" w:cs="Times New Roman"/>
      <w:b/>
      <w:i/>
      <w:iCs/>
      <w:kern w:val="0"/>
      <w:sz w:val="24"/>
      <w:szCs w:val="24"/>
    </w:rPr>
  </w:style>
  <w:style w:type="character" w:customStyle="1" w:styleId="Heading5Char">
    <w:name w:val="Heading 5 Char"/>
    <w:basedOn w:val="DefaultParagraphFont"/>
    <w:link w:val="Heading5"/>
    <w:uiPriority w:val="9"/>
    <w:semiHidden/>
    <w:rsid w:val="00A237F8"/>
    <w:rPr>
      <w:rFonts w:ascii="Times New Roman" w:eastAsia="Times New Roman" w:hAnsi="Times New Roman" w:cs="Times New Roman"/>
      <w:i/>
      <w:kern w:val="0"/>
      <w:sz w:val="24"/>
      <w:szCs w:val="24"/>
    </w:rPr>
  </w:style>
  <w:style w:type="character" w:customStyle="1" w:styleId="Heading6Char">
    <w:name w:val="Heading 6 Char"/>
    <w:basedOn w:val="DefaultParagraphFont"/>
    <w:link w:val="Heading6"/>
    <w:uiPriority w:val="9"/>
    <w:semiHidden/>
    <w:rsid w:val="00A237F8"/>
    <w:rPr>
      <w:rFonts w:ascii="Times New Roman" w:hAnsi="Times New Roman" w:cs="Times New Roman"/>
      <w:iCs/>
      <w:kern w:val="0"/>
      <w:sz w:val="24"/>
      <w:szCs w:val="24"/>
    </w:rPr>
  </w:style>
  <w:style w:type="paragraph" w:customStyle="1" w:styleId="Heading11">
    <w:name w:val="Heading 11"/>
    <w:basedOn w:val="Normal"/>
    <w:next w:val="Normal"/>
    <w:uiPriority w:val="9"/>
    <w:qFormat/>
    <w:rsid w:val="00A237F8"/>
    <w:pPr>
      <w:spacing w:after="0" w:line="480" w:lineRule="auto"/>
      <w:ind w:firstLine="360"/>
      <w:jc w:val="center"/>
      <w:outlineLvl w:val="0"/>
    </w:pPr>
    <w:rPr>
      <w:rFonts w:ascii="Times New Roman" w:hAnsi="Times New Roman" w:cs="Times New Roman"/>
      <w:b/>
      <w:sz w:val="24"/>
      <w:szCs w:val="24"/>
    </w:rPr>
  </w:style>
  <w:style w:type="paragraph" w:customStyle="1" w:styleId="Heading21">
    <w:name w:val="Heading 21"/>
    <w:next w:val="Normal"/>
    <w:uiPriority w:val="9"/>
    <w:unhideWhenUsed/>
    <w:qFormat/>
    <w:rsid w:val="00A237F8"/>
    <w:pPr>
      <w:keepNext/>
      <w:keepLines/>
      <w:spacing w:before="40"/>
      <w:outlineLvl w:val="1"/>
    </w:pPr>
    <w:rPr>
      <w:rFonts w:ascii="Times New Roman" w:eastAsia="Times New Roman" w:hAnsi="Times New Roman" w:cs="Times New Roman"/>
      <w:b/>
      <w:kern w:val="0"/>
      <w:sz w:val="24"/>
      <w:szCs w:val="24"/>
    </w:rPr>
  </w:style>
  <w:style w:type="paragraph" w:customStyle="1" w:styleId="Heading31">
    <w:name w:val="Heading 31"/>
    <w:next w:val="Normal"/>
    <w:uiPriority w:val="9"/>
    <w:unhideWhenUsed/>
    <w:qFormat/>
    <w:rsid w:val="00A237F8"/>
    <w:pPr>
      <w:keepNext/>
      <w:keepLines/>
      <w:spacing w:after="0" w:line="480" w:lineRule="auto"/>
      <w:ind w:left="360"/>
      <w:outlineLvl w:val="2"/>
    </w:pPr>
    <w:rPr>
      <w:rFonts w:ascii="Times New Roman" w:eastAsia="Times New Roman" w:hAnsi="Times New Roman" w:cs="Times New Roman"/>
      <w:b/>
      <w:kern w:val="0"/>
      <w:sz w:val="24"/>
      <w:szCs w:val="24"/>
    </w:rPr>
  </w:style>
  <w:style w:type="paragraph" w:customStyle="1" w:styleId="Heading41">
    <w:name w:val="Heading 41"/>
    <w:next w:val="Normal"/>
    <w:uiPriority w:val="9"/>
    <w:unhideWhenUsed/>
    <w:qFormat/>
    <w:rsid w:val="00A237F8"/>
    <w:pPr>
      <w:keepNext/>
      <w:keepLines/>
      <w:spacing w:after="0" w:line="480" w:lineRule="auto"/>
      <w:ind w:left="360"/>
      <w:outlineLvl w:val="3"/>
    </w:pPr>
    <w:rPr>
      <w:rFonts w:ascii="Times New Roman" w:eastAsia="Times New Roman" w:hAnsi="Times New Roman" w:cs="Times New Roman"/>
      <w:b/>
      <w:i/>
      <w:iCs/>
      <w:kern w:val="0"/>
      <w:sz w:val="24"/>
      <w:szCs w:val="24"/>
    </w:rPr>
  </w:style>
  <w:style w:type="paragraph" w:customStyle="1" w:styleId="Heading51">
    <w:name w:val="Heading 51"/>
    <w:basedOn w:val="Normal"/>
    <w:next w:val="Normal"/>
    <w:uiPriority w:val="9"/>
    <w:unhideWhenUsed/>
    <w:qFormat/>
    <w:rsid w:val="00A237F8"/>
    <w:pPr>
      <w:keepNext/>
      <w:keepLines/>
      <w:spacing w:after="0" w:line="480" w:lineRule="auto"/>
      <w:ind w:left="360"/>
      <w:outlineLvl w:val="4"/>
    </w:pPr>
    <w:rPr>
      <w:rFonts w:ascii="Times New Roman" w:eastAsia="Times New Roman" w:hAnsi="Times New Roman" w:cs="Times New Roman"/>
      <w:i/>
      <w:sz w:val="24"/>
      <w:szCs w:val="24"/>
    </w:rPr>
  </w:style>
  <w:style w:type="paragraph" w:customStyle="1" w:styleId="FigureTableTitle1">
    <w:name w:val="Figure/Table Title1"/>
    <w:basedOn w:val="Caption"/>
    <w:next w:val="NoSpacing"/>
    <w:uiPriority w:val="9"/>
    <w:unhideWhenUsed/>
    <w:qFormat/>
    <w:rsid w:val="00A237F8"/>
    <w:pPr>
      <w:ind w:firstLine="360"/>
      <w:jc w:val="center"/>
      <w:outlineLvl w:val="5"/>
    </w:pPr>
    <w:rPr>
      <w:rFonts w:ascii="Times New Roman" w:hAnsi="Times New Roman" w:cs="Times New Roman"/>
      <w:i w:val="0"/>
      <w:color w:val="auto"/>
      <w:sz w:val="24"/>
      <w:szCs w:val="24"/>
    </w:rPr>
  </w:style>
  <w:style w:type="numbering" w:customStyle="1" w:styleId="NoList1">
    <w:name w:val="No List1"/>
    <w:next w:val="NoList"/>
    <w:uiPriority w:val="99"/>
    <w:semiHidden/>
    <w:unhideWhenUsed/>
    <w:rsid w:val="00A237F8"/>
  </w:style>
  <w:style w:type="paragraph" w:customStyle="1" w:styleId="Header1">
    <w:name w:val="Header1"/>
    <w:basedOn w:val="Normal"/>
    <w:next w:val="Header"/>
    <w:link w:val="HeaderChar"/>
    <w:uiPriority w:val="99"/>
    <w:unhideWhenUsed/>
    <w:rsid w:val="00A237F8"/>
    <w:pPr>
      <w:tabs>
        <w:tab w:val="center" w:pos="4680"/>
        <w:tab w:val="right" w:pos="9360"/>
      </w:tabs>
      <w:spacing w:after="0" w:line="240" w:lineRule="auto"/>
      <w:ind w:firstLine="360"/>
    </w:pPr>
    <w:rPr>
      <w:rFonts w:ascii="Times New Roman" w:hAnsi="Times New Roman" w:cs="Times New Roman"/>
      <w:sz w:val="24"/>
      <w:szCs w:val="24"/>
    </w:rPr>
  </w:style>
  <w:style w:type="character" w:customStyle="1" w:styleId="HeaderChar">
    <w:name w:val="Header Char"/>
    <w:basedOn w:val="DefaultParagraphFont"/>
    <w:link w:val="Header1"/>
    <w:uiPriority w:val="99"/>
    <w:rsid w:val="00A237F8"/>
    <w:rPr>
      <w:rFonts w:ascii="Times New Roman" w:hAnsi="Times New Roman" w:cs="Times New Roman"/>
      <w:kern w:val="0"/>
      <w:sz w:val="24"/>
      <w:szCs w:val="24"/>
    </w:rPr>
  </w:style>
  <w:style w:type="paragraph" w:customStyle="1" w:styleId="Footer1">
    <w:name w:val="Footer1"/>
    <w:basedOn w:val="Normal"/>
    <w:next w:val="Footer"/>
    <w:link w:val="FooterChar"/>
    <w:uiPriority w:val="99"/>
    <w:unhideWhenUsed/>
    <w:rsid w:val="00A237F8"/>
    <w:pPr>
      <w:tabs>
        <w:tab w:val="center" w:pos="4680"/>
        <w:tab w:val="right" w:pos="9360"/>
      </w:tabs>
      <w:spacing w:after="0" w:line="240" w:lineRule="auto"/>
      <w:ind w:firstLine="360"/>
    </w:pPr>
    <w:rPr>
      <w:rFonts w:ascii="Times New Roman" w:hAnsi="Times New Roman" w:cs="Times New Roman"/>
      <w:sz w:val="24"/>
      <w:szCs w:val="24"/>
    </w:rPr>
  </w:style>
  <w:style w:type="character" w:customStyle="1" w:styleId="FooterChar">
    <w:name w:val="Footer Char"/>
    <w:basedOn w:val="DefaultParagraphFont"/>
    <w:link w:val="Footer1"/>
    <w:uiPriority w:val="99"/>
    <w:rsid w:val="00A237F8"/>
    <w:rPr>
      <w:rFonts w:ascii="Times New Roman" w:hAnsi="Times New Roman" w:cs="Times New Roman"/>
      <w:kern w:val="0"/>
      <w:sz w:val="24"/>
      <w:szCs w:val="24"/>
    </w:rPr>
  </w:style>
  <w:style w:type="paragraph" w:customStyle="1" w:styleId="NoSpacing1">
    <w:name w:val="No Spacing1"/>
    <w:next w:val="NoSpacing"/>
    <w:uiPriority w:val="1"/>
    <w:qFormat/>
    <w:rsid w:val="00A237F8"/>
    <w:pPr>
      <w:spacing w:after="0" w:line="240" w:lineRule="auto"/>
    </w:pPr>
    <w:rPr>
      <w:rFonts w:ascii="Times New Roman" w:hAnsi="Times New Roman" w:cs="Times New Roman"/>
      <w:kern w:val="0"/>
      <w:sz w:val="24"/>
      <w:szCs w:val="24"/>
    </w:rPr>
  </w:style>
  <w:style w:type="character" w:customStyle="1" w:styleId="Hyperlink1">
    <w:name w:val="Hyperlink1"/>
    <w:basedOn w:val="DefaultParagraphFont"/>
    <w:uiPriority w:val="99"/>
    <w:unhideWhenUsed/>
    <w:rsid w:val="00A237F8"/>
    <w:rPr>
      <w:color w:val="0563C1"/>
      <w:u w:val="single"/>
    </w:rPr>
  </w:style>
  <w:style w:type="paragraph" w:customStyle="1" w:styleId="TOC11">
    <w:name w:val="TOC 11"/>
    <w:basedOn w:val="NoSpacing"/>
    <w:next w:val="NoSpacing"/>
    <w:autoRedefine/>
    <w:uiPriority w:val="39"/>
    <w:unhideWhenUsed/>
    <w:rsid w:val="00A237F8"/>
    <w:pPr>
      <w:tabs>
        <w:tab w:val="right" w:leader="dot" w:pos="8630"/>
      </w:tabs>
    </w:pPr>
    <w:rPr>
      <w:rFonts w:ascii="Times New Roman" w:hAnsi="Times New Roman" w:cs="Times New Roman"/>
      <w:sz w:val="24"/>
      <w:szCs w:val="24"/>
    </w:rPr>
  </w:style>
  <w:style w:type="paragraph" w:customStyle="1" w:styleId="TableTitle1">
    <w:name w:val="Table Title1"/>
    <w:basedOn w:val="Heading6"/>
    <w:next w:val="Normal"/>
    <w:uiPriority w:val="10"/>
    <w:qFormat/>
    <w:rsid w:val="00A237F8"/>
  </w:style>
  <w:style w:type="character" w:customStyle="1" w:styleId="TitleChar">
    <w:name w:val="Title Char"/>
    <w:basedOn w:val="DefaultParagraphFont"/>
    <w:link w:val="Title"/>
    <w:uiPriority w:val="10"/>
    <w:rsid w:val="00A237F8"/>
    <w:rPr>
      <w:rFonts w:ascii="Times New Roman" w:hAnsi="Times New Roman" w:cs="Times New Roman"/>
      <w:iCs/>
      <w:noProof/>
      <w:sz w:val="24"/>
      <w:szCs w:val="24"/>
    </w:rPr>
  </w:style>
  <w:style w:type="paragraph" w:customStyle="1" w:styleId="TableofFigures1">
    <w:name w:val="Table of Figures1"/>
    <w:basedOn w:val="NoSpacing"/>
    <w:next w:val="Normal"/>
    <w:uiPriority w:val="99"/>
    <w:unhideWhenUsed/>
    <w:rsid w:val="00A237F8"/>
    <w:rPr>
      <w:rFonts w:ascii="Times New Roman" w:hAnsi="Times New Roman" w:cs="Times New Roman"/>
      <w:sz w:val="24"/>
      <w:szCs w:val="24"/>
    </w:rPr>
  </w:style>
  <w:style w:type="paragraph" w:customStyle="1" w:styleId="Quote1">
    <w:name w:val="Quote1"/>
    <w:next w:val="NoSpacing"/>
    <w:uiPriority w:val="29"/>
    <w:qFormat/>
    <w:rsid w:val="00A237F8"/>
    <w:pPr>
      <w:spacing w:after="240" w:line="240" w:lineRule="auto"/>
      <w:ind w:left="360"/>
    </w:pPr>
    <w:rPr>
      <w:rFonts w:ascii="Times New Roman" w:hAnsi="Times New Roman" w:cs="Times New Roman"/>
      <w:iCs/>
      <w:color w:val="404040"/>
      <w:kern w:val="0"/>
      <w:sz w:val="24"/>
      <w:szCs w:val="24"/>
    </w:rPr>
  </w:style>
  <w:style w:type="character" w:customStyle="1" w:styleId="QuoteChar">
    <w:name w:val="Quote Char"/>
    <w:basedOn w:val="DefaultParagraphFont"/>
    <w:link w:val="Quote"/>
    <w:uiPriority w:val="29"/>
    <w:rsid w:val="00A237F8"/>
    <w:rPr>
      <w:rFonts w:ascii="Times New Roman" w:hAnsi="Times New Roman" w:cs="Times New Roman"/>
      <w:iCs/>
      <w:color w:val="404040"/>
      <w:sz w:val="24"/>
      <w:szCs w:val="24"/>
    </w:rPr>
  </w:style>
  <w:style w:type="paragraph" w:customStyle="1" w:styleId="ListParagraph1">
    <w:name w:val="List Paragraph1"/>
    <w:basedOn w:val="Normal"/>
    <w:next w:val="ListParagraph"/>
    <w:uiPriority w:val="34"/>
    <w:qFormat/>
    <w:rsid w:val="00A237F8"/>
    <w:pPr>
      <w:numPr>
        <w:numId w:val="3"/>
      </w:numPr>
      <w:spacing w:after="0" w:line="480" w:lineRule="auto"/>
      <w:contextualSpacing/>
    </w:pPr>
    <w:rPr>
      <w:rFonts w:ascii="Times New Roman" w:hAnsi="Times New Roman" w:cs="Times New Roman"/>
      <w:sz w:val="24"/>
      <w:szCs w:val="24"/>
    </w:rPr>
  </w:style>
  <w:style w:type="paragraph" w:customStyle="1" w:styleId="TOCHeading1">
    <w:name w:val="TOC Heading1"/>
    <w:basedOn w:val="Heading1"/>
    <w:next w:val="Normal"/>
    <w:uiPriority w:val="39"/>
    <w:unhideWhenUsed/>
    <w:rsid w:val="00A237F8"/>
  </w:style>
  <w:style w:type="paragraph" w:customStyle="1" w:styleId="TOC21">
    <w:name w:val="TOC 21"/>
    <w:basedOn w:val="Normal"/>
    <w:next w:val="Normal"/>
    <w:autoRedefine/>
    <w:uiPriority w:val="39"/>
    <w:unhideWhenUsed/>
    <w:rsid w:val="00A237F8"/>
    <w:pPr>
      <w:spacing w:after="100" w:line="480" w:lineRule="auto"/>
      <w:ind w:left="240" w:firstLine="360"/>
    </w:pPr>
    <w:rPr>
      <w:rFonts w:ascii="Times New Roman" w:hAnsi="Times New Roman" w:cs="Times New Roman"/>
      <w:sz w:val="24"/>
      <w:szCs w:val="24"/>
    </w:rPr>
  </w:style>
  <w:style w:type="paragraph" w:customStyle="1" w:styleId="TOC31">
    <w:name w:val="TOC 31"/>
    <w:basedOn w:val="Normal"/>
    <w:next w:val="Normal"/>
    <w:autoRedefine/>
    <w:uiPriority w:val="39"/>
    <w:unhideWhenUsed/>
    <w:rsid w:val="00A237F8"/>
    <w:pPr>
      <w:tabs>
        <w:tab w:val="right" w:leader="dot" w:pos="8630"/>
      </w:tabs>
      <w:spacing w:after="100" w:line="480" w:lineRule="auto"/>
      <w:ind w:left="480" w:firstLine="360"/>
    </w:pPr>
    <w:rPr>
      <w:rFonts w:ascii="Times New Roman" w:hAnsi="Times New Roman" w:cs="Times New Roman"/>
      <w:sz w:val="24"/>
      <w:szCs w:val="24"/>
    </w:rPr>
  </w:style>
  <w:style w:type="paragraph" w:customStyle="1" w:styleId="TOC41">
    <w:name w:val="TOC 41"/>
    <w:basedOn w:val="Normal"/>
    <w:next w:val="Normal"/>
    <w:autoRedefine/>
    <w:uiPriority w:val="39"/>
    <w:unhideWhenUsed/>
    <w:rsid w:val="00A237F8"/>
    <w:pPr>
      <w:spacing w:after="100" w:line="480" w:lineRule="auto"/>
      <w:ind w:left="720" w:firstLine="360"/>
    </w:pPr>
    <w:rPr>
      <w:rFonts w:ascii="Times New Roman" w:hAnsi="Times New Roman" w:cs="Times New Roman"/>
      <w:sz w:val="24"/>
      <w:szCs w:val="24"/>
    </w:rPr>
  </w:style>
  <w:style w:type="paragraph" w:customStyle="1" w:styleId="TOC51">
    <w:name w:val="TOC 51"/>
    <w:basedOn w:val="Normal"/>
    <w:next w:val="Normal"/>
    <w:autoRedefine/>
    <w:uiPriority w:val="39"/>
    <w:unhideWhenUsed/>
    <w:rsid w:val="00A237F8"/>
    <w:pPr>
      <w:spacing w:after="100" w:line="480" w:lineRule="auto"/>
      <w:ind w:left="960" w:firstLine="360"/>
    </w:pPr>
    <w:rPr>
      <w:rFonts w:ascii="Times New Roman" w:hAnsi="Times New Roman" w:cs="Times New Roman"/>
      <w:sz w:val="24"/>
      <w:szCs w:val="24"/>
    </w:rPr>
  </w:style>
  <w:style w:type="paragraph" w:customStyle="1" w:styleId="FootnoteText1">
    <w:name w:val="Footnote Text1"/>
    <w:basedOn w:val="Normal"/>
    <w:next w:val="FootnoteText"/>
    <w:link w:val="FootnoteTextChar"/>
    <w:uiPriority w:val="99"/>
    <w:semiHidden/>
    <w:unhideWhenUsed/>
    <w:rsid w:val="00A237F8"/>
    <w:pPr>
      <w:spacing w:after="0" w:line="240" w:lineRule="auto"/>
      <w:ind w:firstLine="360"/>
    </w:pPr>
    <w:rPr>
      <w:rFonts w:ascii="Times New Roman" w:hAnsi="Times New Roman" w:cs="Times New Roman"/>
      <w:sz w:val="20"/>
      <w:szCs w:val="20"/>
    </w:rPr>
  </w:style>
  <w:style w:type="character" w:customStyle="1" w:styleId="FootnoteTextChar">
    <w:name w:val="Footnote Text Char"/>
    <w:basedOn w:val="DefaultParagraphFont"/>
    <w:link w:val="FootnoteText1"/>
    <w:uiPriority w:val="99"/>
    <w:semiHidden/>
    <w:rsid w:val="00A237F8"/>
    <w:rPr>
      <w:rFonts w:ascii="Times New Roman" w:hAnsi="Times New Roman" w:cs="Times New Roman"/>
      <w:kern w:val="0"/>
      <w:sz w:val="20"/>
      <w:szCs w:val="20"/>
    </w:rPr>
  </w:style>
  <w:style w:type="character" w:styleId="FootnoteReference">
    <w:name w:val="footnote reference"/>
    <w:basedOn w:val="DefaultParagraphFont"/>
    <w:uiPriority w:val="99"/>
    <w:semiHidden/>
    <w:unhideWhenUsed/>
    <w:rsid w:val="00A237F8"/>
    <w:rPr>
      <w:vertAlign w:val="superscript"/>
    </w:rPr>
  </w:style>
  <w:style w:type="paragraph" w:customStyle="1" w:styleId="Bibliography1">
    <w:name w:val="Bibliography1"/>
    <w:basedOn w:val="Normal"/>
    <w:next w:val="Normal"/>
    <w:uiPriority w:val="37"/>
    <w:unhideWhenUsed/>
    <w:rsid w:val="00A237F8"/>
    <w:pPr>
      <w:spacing w:after="0" w:line="480" w:lineRule="auto"/>
      <w:ind w:firstLine="360"/>
    </w:pPr>
    <w:rPr>
      <w:rFonts w:ascii="Times New Roman" w:hAnsi="Times New Roman" w:cs="Times New Roman"/>
      <w:sz w:val="24"/>
      <w:szCs w:val="24"/>
    </w:rPr>
  </w:style>
  <w:style w:type="paragraph" w:customStyle="1" w:styleId="Caption1">
    <w:name w:val="Caption1"/>
    <w:basedOn w:val="Normal"/>
    <w:next w:val="Normal"/>
    <w:uiPriority w:val="35"/>
    <w:unhideWhenUsed/>
    <w:qFormat/>
    <w:rsid w:val="00A237F8"/>
    <w:pPr>
      <w:spacing w:after="200" w:line="240" w:lineRule="auto"/>
      <w:ind w:firstLine="360"/>
    </w:pPr>
    <w:rPr>
      <w:rFonts w:ascii="Times New Roman" w:hAnsi="Times New Roman" w:cs="Times New Roman"/>
      <w:i/>
      <w:iCs/>
      <w:color w:val="44546A"/>
      <w:sz w:val="18"/>
      <w:szCs w:val="18"/>
    </w:rPr>
  </w:style>
  <w:style w:type="character" w:customStyle="1" w:styleId="normaltextrun">
    <w:name w:val="normaltextrun"/>
    <w:basedOn w:val="DefaultParagraphFont"/>
    <w:rsid w:val="00A237F8"/>
  </w:style>
  <w:style w:type="table" w:customStyle="1" w:styleId="TableGrid1">
    <w:name w:val="Table Grid1"/>
    <w:basedOn w:val="TableNormal"/>
    <w:next w:val="TableGrid"/>
    <w:uiPriority w:val="39"/>
    <w:rsid w:val="00A237F8"/>
    <w:pPr>
      <w:spacing w:after="0" w:line="240" w:lineRule="auto"/>
    </w:pPr>
    <w:rPr>
      <w:kern w:val="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unhideWhenUsed/>
    <w:rsid w:val="00A237F8"/>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eop">
    <w:name w:val="eop"/>
    <w:basedOn w:val="DefaultParagraphFont"/>
    <w:rsid w:val="00A237F8"/>
  </w:style>
  <w:style w:type="paragraph" w:customStyle="1" w:styleId="paragraph">
    <w:name w:val="paragraph"/>
    <w:basedOn w:val="Normal"/>
    <w:rsid w:val="00A237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vision1">
    <w:name w:val="Revision1"/>
    <w:next w:val="Revision"/>
    <w:hidden/>
    <w:uiPriority w:val="99"/>
    <w:semiHidden/>
    <w:rsid w:val="00A237F8"/>
    <w:pPr>
      <w:spacing w:after="0" w:line="240" w:lineRule="auto"/>
    </w:pPr>
    <w:rPr>
      <w:rFonts w:ascii="Times New Roman" w:hAnsi="Times New Roman" w:cs="Times New Roman"/>
      <w:kern w:val="0"/>
      <w:sz w:val="24"/>
      <w:szCs w:val="24"/>
    </w:rPr>
  </w:style>
  <w:style w:type="character" w:styleId="CommentReference">
    <w:name w:val="annotation reference"/>
    <w:basedOn w:val="DefaultParagraphFont"/>
    <w:uiPriority w:val="99"/>
    <w:semiHidden/>
    <w:unhideWhenUsed/>
    <w:rsid w:val="00A237F8"/>
    <w:rPr>
      <w:sz w:val="16"/>
      <w:szCs w:val="16"/>
    </w:rPr>
  </w:style>
  <w:style w:type="paragraph" w:customStyle="1" w:styleId="CommentText1">
    <w:name w:val="Comment Text1"/>
    <w:basedOn w:val="Normal"/>
    <w:next w:val="CommentText"/>
    <w:link w:val="CommentTextChar"/>
    <w:uiPriority w:val="99"/>
    <w:semiHidden/>
    <w:unhideWhenUsed/>
    <w:rsid w:val="00A237F8"/>
    <w:pPr>
      <w:spacing w:after="0" w:line="240" w:lineRule="auto"/>
      <w:ind w:firstLine="360"/>
    </w:pPr>
    <w:rPr>
      <w:rFonts w:ascii="Times New Roman" w:hAnsi="Times New Roman" w:cs="Times New Roman"/>
      <w:sz w:val="20"/>
      <w:szCs w:val="20"/>
    </w:rPr>
  </w:style>
  <w:style w:type="character" w:customStyle="1" w:styleId="CommentTextChar">
    <w:name w:val="Comment Text Char"/>
    <w:basedOn w:val="DefaultParagraphFont"/>
    <w:link w:val="CommentText1"/>
    <w:uiPriority w:val="99"/>
    <w:semiHidden/>
    <w:rsid w:val="00A237F8"/>
    <w:rPr>
      <w:rFonts w:ascii="Times New Roman" w:hAnsi="Times New Roman" w:cs="Times New Roman"/>
      <w:kern w:val="0"/>
      <w:sz w:val="20"/>
      <w:szCs w:val="20"/>
    </w:rPr>
  </w:style>
  <w:style w:type="paragraph" w:customStyle="1" w:styleId="CommentSubject1">
    <w:name w:val="Comment Subject1"/>
    <w:basedOn w:val="CommentText"/>
    <w:next w:val="CommentText"/>
    <w:uiPriority w:val="99"/>
    <w:semiHidden/>
    <w:unhideWhenUsed/>
    <w:rsid w:val="00A237F8"/>
    <w:pPr>
      <w:spacing w:after="0"/>
      <w:ind w:firstLine="360"/>
    </w:pPr>
    <w:rPr>
      <w:rFonts w:ascii="Times New Roman" w:hAnsi="Times New Roman" w:cs="Times New Roman"/>
      <w:b/>
      <w:bCs/>
    </w:rPr>
  </w:style>
  <w:style w:type="character" w:customStyle="1" w:styleId="CommentSubjectChar">
    <w:name w:val="Comment Subject Char"/>
    <w:basedOn w:val="CommentTextChar"/>
    <w:link w:val="CommentSubject"/>
    <w:uiPriority w:val="99"/>
    <w:semiHidden/>
    <w:rsid w:val="00A237F8"/>
    <w:rPr>
      <w:rFonts w:ascii="Times New Roman" w:hAnsi="Times New Roman" w:cs="Times New Roman"/>
      <w:b/>
      <w:bCs/>
      <w:kern w:val="0"/>
      <w:sz w:val="20"/>
      <w:szCs w:val="20"/>
    </w:rPr>
  </w:style>
  <w:style w:type="character" w:styleId="Mention">
    <w:name w:val="Mention"/>
    <w:basedOn w:val="DefaultParagraphFont"/>
    <w:uiPriority w:val="99"/>
    <w:unhideWhenUsed/>
    <w:rsid w:val="00A237F8"/>
    <w:rPr>
      <w:color w:val="2B579A"/>
      <w:shd w:val="clear" w:color="auto" w:fill="E1DFDD"/>
    </w:rPr>
  </w:style>
  <w:style w:type="character" w:styleId="EndnoteReference">
    <w:name w:val="endnote reference"/>
    <w:basedOn w:val="DefaultParagraphFont"/>
    <w:uiPriority w:val="99"/>
    <w:semiHidden/>
    <w:unhideWhenUsed/>
    <w:rsid w:val="00A237F8"/>
    <w:rPr>
      <w:vertAlign w:val="superscript"/>
    </w:rPr>
  </w:style>
  <w:style w:type="paragraph" w:customStyle="1" w:styleId="BalloonText1">
    <w:name w:val="Balloon Text1"/>
    <w:basedOn w:val="Normal"/>
    <w:next w:val="BalloonText"/>
    <w:link w:val="BalloonTextChar"/>
    <w:uiPriority w:val="99"/>
    <w:semiHidden/>
    <w:unhideWhenUsed/>
    <w:rsid w:val="00A237F8"/>
    <w:pPr>
      <w:spacing w:after="0" w:line="240" w:lineRule="auto"/>
      <w:ind w:firstLine="360"/>
    </w:pPr>
    <w:rPr>
      <w:rFonts w:ascii="Times New Roman" w:hAnsi="Times New Roman" w:cs="Times New Roman"/>
      <w:sz w:val="18"/>
      <w:szCs w:val="18"/>
    </w:rPr>
  </w:style>
  <w:style w:type="character" w:customStyle="1" w:styleId="BalloonTextChar">
    <w:name w:val="Balloon Text Char"/>
    <w:basedOn w:val="DefaultParagraphFont"/>
    <w:link w:val="BalloonText1"/>
    <w:uiPriority w:val="99"/>
    <w:semiHidden/>
    <w:rsid w:val="00A237F8"/>
    <w:rPr>
      <w:rFonts w:ascii="Times New Roman" w:hAnsi="Times New Roman" w:cs="Times New Roman"/>
      <w:kern w:val="0"/>
      <w:sz w:val="18"/>
      <w:szCs w:val="18"/>
    </w:rPr>
  </w:style>
  <w:style w:type="character" w:customStyle="1" w:styleId="FollowedHyperlink1">
    <w:name w:val="FollowedHyperlink1"/>
    <w:basedOn w:val="DefaultParagraphFont"/>
    <w:uiPriority w:val="99"/>
    <w:semiHidden/>
    <w:unhideWhenUsed/>
    <w:rsid w:val="00A237F8"/>
    <w:rPr>
      <w:color w:val="954F72"/>
      <w:u w:val="single"/>
    </w:rPr>
  </w:style>
  <w:style w:type="paragraph" w:styleId="Caption">
    <w:name w:val="caption"/>
    <w:basedOn w:val="Normal"/>
    <w:next w:val="Normal"/>
    <w:uiPriority w:val="35"/>
    <w:unhideWhenUsed/>
    <w:qFormat/>
    <w:rsid w:val="00A237F8"/>
    <w:pPr>
      <w:spacing w:after="200" w:line="240" w:lineRule="auto"/>
    </w:pPr>
    <w:rPr>
      <w:i/>
      <w:iCs/>
      <w:color w:val="44546A" w:themeColor="text2"/>
      <w:sz w:val="18"/>
      <w:szCs w:val="18"/>
    </w:rPr>
  </w:style>
  <w:style w:type="paragraph" w:styleId="NoSpacing">
    <w:name w:val="No Spacing"/>
    <w:uiPriority w:val="1"/>
    <w:qFormat/>
    <w:rsid w:val="00A237F8"/>
    <w:pPr>
      <w:spacing w:after="0" w:line="240" w:lineRule="auto"/>
    </w:pPr>
    <w:rPr>
      <w:kern w:val="0"/>
    </w:rPr>
  </w:style>
  <w:style w:type="character" w:customStyle="1" w:styleId="Heading1Char1">
    <w:name w:val="Heading 1 Char1"/>
    <w:basedOn w:val="DefaultParagraphFont"/>
    <w:uiPriority w:val="9"/>
    <w:rsid w:val="00A237F8"/>
    <w:rPr>
      <w:rFonts w:asciiTheme="majorHAnsi" w:eastAsiaTheme="majorEastAsia" w:hAnsiTheme="majorHAnsi" w:cstheme="majorBidi"/>
      <w:color w:val="2F5496" w:themeColor="accent1" w:themeShade="BF"/>
      <w:sz w:val="32"/>
      <w:szCs w:val="32"/>
    </w:rPr>
  </w:style>
  <w:style w:type="character" w:customStyle="1" w:styleId="Heading2Char1">
    <w:name w:val="Heading 2 Char1"/>
    <w:basedOn w:val="DefaultParagraphFont"/>
    <w:uiPriority w:val="9"/>
    <w:semiHidden/>
    <w:rsid w:val="00A237F8"/>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A237F8"/>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A237F8"/>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A237F8"/>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A237F8"/>
    <w:rPr>
      <w:rFonts w:asciiTheme="majorHAnsi" w:eastAsiaTheme="majorEastAsia" w:hAnsiTheme="majorHAnsi" w:cstheme="majorBidi"/>
      <w:color w:val="1F3763" w:themeColor="accent1" w:themeShade="7F"/>
    </w:rPr>
  </w:style>
  <w:style w:type="paragraph" w:styleId="Header">
    <w:name w:val="header"/>
    <w:basedOn w:val="Normal"/>
    <w:link w:val="HeaderChar1"/>
    <w:uiPriority w:val="99"/>
    <w:unhideWhenUsed/>
    <w:rsid w:val="00A237F8"/>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A237F8"/>
    <w:rPr>
      <w:kern w:val="0"/>
    </w:rPr>
  </w:style>
  <w:style w:type="paragraph" w:styleId="Footer">
    <w:name w:val="footer"/>
    <w:basedOn w:val="Normal"/>
    <w:link w:val="FooterChar1"/>
    <w:uiPriority w:val="99"/>
    <w:unhideWhenUsed/>
    <w:rsid w:val="00A237F8"/>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A237F8"/>
    <w:rPr>
      <w:kern w:val="0"/>
    </w:rPr>
  </w:style>
  <w:style w:type="character" w:styleId="Hyperlink">
    <w:name w:val="Hyperlink"/>
    <w:basedOn w:val="DefaultParagraphFont"/>
    <w:uiPriority w:val="99"/>
    <w:semiHidden/>
    <w:unhideWhenUsed/>
    <w:rsid w:val="00A237F8"/>
    <w:rPr>
      <w:color w:val="0563C1" w:themeColor="hyperlink"/>
      <w:u w:val="single"/>
    </w:rPr>
  </w:style>
  <w:style w:type="paragraph" w:styleId="Title">
    <w:name w:val="Title"/>
    <w:basedOn w:val="Normal"/>
    <w:next w:val="Normal"/>
    <w:link w:val="TitleChar"/>
    <w:uiPriority w:val="10"/>
    <w:qFormat/>
    <w:rsid w:val="00A237F8"/>
    <w:pPr>
      <w:spacing w:after="0" w:line="240" w:lineRule="auto"/>
      <w:contextualSpacing/>
    </w:pPr>
    <w:rPr>
      <w:rFonts w:ascii="Times New Roman" w:hAnsi="Times New Roman" w:cs="Times New Roman"/>
      <w:iCs/>
      <w:noProof/>
      <w:kern w:val="2"/>
      <w:sz w:val="24"/>
      <w:szCs w:val="24"/>
    </w:rPr>
  </w:style>
  <w:style w:type="character" w:customStyle="1" w:styleId="TitleChar1">
    <w:name w:val="Title Char1"/>
    <w:basedOn w:val="DefaultParagraphFont"/>
    <w:uiPriority w:val="10"/>
    <w:rsid w:val="00A237F8"/>
    <w:rPr>
      <w:rFonts w:asciiTheme="majorHAnsi" w:eastAsiaTheme="majorEastAsia" w:hAnsiTheme="majorHAnsi" w:cstheme="majorBidi"/>
      <w:spacing w:val="-10"/>
      <w:kern w:val="28"/>
      <w:sz w:val="56"/>
      <w:szCs w:val="56"/>
      <w14:ligatures w14:val="none"/>
    </w:rPr>
  </w:style>
  <w:style w:type="paragraph" w:styleId="Quote">
    <w:name w:val="Quote"/>
    <w:basedOn w:val="Normal"/>
    <w:next w:val="Normal"/>
    <w:link w:val="QuoteChar"/>
    <w:uiPriority w:val="29"/>
    <w:qFormat/>
    <w:rsid w:val="00A237F8"/>
    <w:pPr>
      <w:spacing w:before="200"/>
      <w:ind w:left="864" w:right="864"/>
      <w:jc w:val="center"/>
    </w:pPr>
    <w:rPr>
      <w:rFonts w:ascii="Times New Roman" w:hAnsi="Times New Roman" w:cs="Times New Roman"/>
      <w:iCs/>
      <w:color w:val="404040"/>
      <w:kern w:val="2"/>
      <w:sz w:val="24"/>
      <w:szCs w:val="24"/>
    </w:rPr>
  </w:style>
  <w:style w:type="character" w:customStyle="1" w:styleId="QuoteChar1">
    <w:name w:val="Quote Char1"/>
    <w:basedOn w:val="DefaultParagraphFont"/>
    <w:uiPriority w:val="29"/>
    <w:rsid w:val="00A237F8"/>
    <w:rPr>
      <w:i/>
      <w:iCs/>
      <w:color w:val="404040" w:themeColor="text1" w:themeTint="BF"/>
      <w:kern w:val="0"/>
      <w14:ligatures w14:val="none"/>
    </w:rPr>
  </w:style>
  <w:style w:type="paragraph" w:styleId="ListParagraph">
    <w:name w:val="List Paragraph"/>
    <w:basedOn w:val="Normal"/>
    <w:uiPriority w:val="34"/>
    <w:qFormat/>
    <w:rsid w:val="00A237F8"/>
    <w:pPr>
      <w:ind w:left="720"/>
      <w:contextualSpacing/>
    </w:pPr>
  </w:style>
  <w:style w:type="paragraph" w:styleId="FootnoteText">
    <w:name w:val="footnote text"/>
    <w:basedOn w:val="Normal"/>
    <w:link w:val="FootnoteTextChar1"/>
    <w:uiPriority w:val="99"/>
    <w:semiHidden/>
    <w:unhideWhenUsed/>
    <w:rsid w:val="00A237F8"/>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A237F8"/>
    <w:rPr>
      <w:kern w:val="0"/>
      <w:sz w:val="20"/>
      <w:szCs w:val="20"/>
    </w:rPr>
  </w:style>
  <w:style w:type="table" w:styleId="TableGrid">
    <w:name w:val="Table Grid"/>
    <w:basedOn w:val="TableNormal"/>
    <w:uiPriority w:val="39"/>
    <w:rsid w:val="00A237F8"/>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237F8"/>
    <w:pPr>
      <w:spacing w:after="0" w:line="240" w:lineRule="auto"/>
    </w:pPr>
    <w:rPr>
      <w:kern w:val="0"/>
    </w:rPr>
  </w:style>
  <w:style w:type="paragraph" w:styleId="CommentText">
    <w:name w:val="annotation text"/>
    <w:basedOn w:val="Normal"/>
    <w:link w:val="CommentTextChar1"/>
    <w:uiPriority w:val="99"/>
    <w:unhideWhenUsed/>
    <w:rsid w:val="00A237F8"/>
    <w:pPr>
      <w:spacing w:line="240" w:lineRule="auto"/>
    </w:pPr>
    <w:rPr>
      <w:sz w:val="20"/>
      <w:szCs w:val="20"/>
    </w:rPr>
  </w:style>
  <w:style w:type="character" w:customStyle="1" w:styleId="CommentTextChar1">
    <w:name w:val="Comment Text Char1"/>
    <w:basedOn w:val="DefaultParagraphFont"/>
    <w:link w:val="CommentText"/>
    <w:uiPriority w:val="99"/>
    <w:rsid w:val="00A237F8"/>
    <w:rPr>
      <w:kern w:val="0"/>
      <w:sz w:val="20"/>
      <w:szCs w:val="20"/>
    </w:rPr>
  </w:style>
  <w:style w:type="paragraph" w:styleId="CommentSubject">
    <w:name w:val="annotation subject"/>
    <w:basedOn w:val="CommentText"/>
    <w:next w:val="CommentText"/>
    <w:link w:val="CommentSubjectChar"/>
    <w:uiPriority w:val="99"/>
    <w:semiHidden/>
    <w:unhideWhenUsed/>
    <w:rsid w:val="00A237F8"/>
    <w:rPr>
      <w:rFonts w:ascii="Times New Roman" w:hAnsi="Times New Roman" w:cs="Times New Roman"/>
      <w:b/>
      <w:bCs/>
    </w:rPr>
  </w:style>
  <w:style w:type="character" w:customStyle="1" w:styleId="CommentSubjectChar1">
    <w:name w:val="Comment Subject Char1"/>
    <w:basedOn w:val="CommentTextChar1"/>
    <w:uiPriority w:val="99"/>
    <w:semiHidden/>
    <w:rsid w:val="00A237F8"/>
    <w:rPr>
      <w:b/>
      <w:bCs/>
      <w:kern w:val="0"/>
      <w:sz w:val="20"/>
      <w:szCs w:val="20"/>
    </w:rPr>
  </w:style>
  <w:style w:type="paragraph" w:styleId="BalloonText">
    <w:name w:val="Balloon Text"/>
    <w:basedOn w:val="Normal"/>
    <w:link w:val="BalloonTextChar1"/>
    <w:uiPriority w:val="99"/>
    <w:semiHidden/>
    <w:unhideWhenUsed/>
    <w:rsid w:val="00A237F8"/>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A237F8"/>
    <w:rPr>
      <w:rFonts w:ascii="Segoe UI" w:hAnsi="Segoe UI" w:cs="Segoe UI"/>
      <w:kern w:val="0"/>
      <w:sz w:val="18"/>
      <w:szCs w:val="18"/>
    </w:rPr>
  </w:style>
  <w:style w:type="character" w:styleId="FollowedHyperlink">
    <w:name w:val="FollowedHyperlink"/>
    <w:basedOn w:val="DefaultParagraphFont"/>
    <w:uiPriority w:val="99"/>
    <w:semiHidden/>
    <w:unhideWhenUsed/>
    <w:rsid w:val="00A237F8"/>
    <w:rPr>
      <w:color w:val="954F72" w:themeColor="followedHyperlink"/>
      <w:u w:val="single"/>
    </w:rPr>
  </w:style>
  <w:style w:type="character" w:styleId="LineNumber">
    <w:name w:val="line number"/>
    <w:basedOn w:val="DefaultParagraphFont"/>
    <w:uiPriority w:val="99"/>
    <w:semiHidden/>
    <w:unhideWhenUsed/>
    <w:rsid w:val="00A237F8"/>
  </w:style>
  <w:style w:type="character" w:styleId="Strong">
    <w:name w:val="Strong"/>
    <w:basedOn w:val="DefaultParagraphFont"/>
    <w:uiPriority w:val="22"/>
    <w:qFormat/>
    <w:rsid w:val="00A237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E42E7-B6E0-4BCC-BA9A-725AE607FA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13</Pages>
  <Words>18478</Words>
  <Characters>105331</Characters>
  <Application>Microsoft Office Word</Application>
  <DocSecurity>0</DocSecurity>
  <Lines>877</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Goetz</dc:creator>
  <cp:keywords/>
  <dc:description/>
  <cp:lastModifiedBy>Alex Goetz</cp:lastModifiedBy>
  <cp:revision>2</cp:revision>
  <dcterms:created xsi:type="dcterms:W3CDTF">2024-02-02T22:55:00Z</dcterms:created>
  <dcterms:modified xsi:type="dcterms:W3CDTF">2024-02-02T22:55:00Z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http://www.zotero.org/styles/ecology</vt:lpwstr>
  </property>
  <property fmtid="{D5CDD505-2E9C-101B-9397-08002B2CF9AE}" pid="13" name="Mendeley Recent Style Name 5_1">
    <vt:lpwstr>Ecology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http://www.zotero.org/styles/springer-basic-author-date</vt:lpwstr>
  </property>
  <property fmtid="{D5CDD505-2E9C-101B-9397-08002B2CF9AE}" pid="21" name="Mendeley Recent Style Name 9_1">
    <vt:lpwstr>Springer - Basic (author-date)</vt:lpwstr>
  </property>
  <property fmtid="{D5CDD505-2E9C-101B-9397-08002B2CF9AE}" pid="22" name="Mendeley Document_1">
    <vt:lpwstr>True</vt:lpwstr>
  </property>
  <property fmtid="{D5CDD505-2E9C-101B-9397-08002B2CF9AE}" pid="23" name="Mendeley Unique User Id_1">
    <vt:lpwstr>b4af2dee-3b07-3d65-8df0-f1f983bea3f3</vt:lpwstr>
  </property>
  <property fmtid="{D5CDD505-2E9C-101B-9397-08002B2CF9AE}" pid="24" name="Mendeley Citation Style_1">
    <vt:lpwstr>http://www.zotero.org/styles/ecology</vt:lpwstr>
  </property>
</Properties>
</file>