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media/image1.jpeg" ContentType="image/jpeg"/>
  <Override PartName="/word/media/image2.jpeg" ContentType="image/jpeg"/>
  <Override PartName="/word/media/image3.jpeg" ContentType="image/jpeg"/>
  <Override PartName="/word/media/image4.jpeg" ContentType="image/jpeg"/>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
        <w:pageBreakBefore w:val="false"/>
        <w:spacing w:lineRule="auto" w:line="360"/>
        <w:jc w:val="both"/>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Tables</w:t>
      </w:r>
    </w:p>
    <w:p>
      <w:pPr>
        <w:pStyle w:val="LOnormal"/>
        <w:pageBreakBefore w:val="false"/>
        <w:spacing w:lineRule="auto" w:line="360"/>
        <w:jc w:val="both"/>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b/>
        </w:rPr>
        <w:t>Table S1. Species and life stage included in the communities, and the origin of the specimens used in the experiment.</w:t>
      </w:r>
      <w:r>
        <w:rPr>
          <w:rFonts w:eastAsia="Times New Roman" w:cs="Times New Roman" w:ascii="Times New Roman" w:hAnsi="Times New Roman"/>
        </w:rPr>
        <w:t xml:space="preserve"> Abbreviations: </w:t>
      </w:r>
      <w:r>
        <w:rPr>
          <w:rFonts w:eastAsia="Times New Roman" w:cs="Times New Roman" w:ascii="Times New Roman" w:hAnsi="Times New Roman"/>
          <w:vertAlign w:val="superscript"/>
        </w:rPr>
        <w:t>1</w:t>
      </w:r>
      <w:r>
        <w:rPr>
          <w:rFonts w:eastAsia="Times New Roman" w:cs="Times New Roman" w:ascii="Times New Roman" w:hAnsi="Times New Roman"/>
        </w:rPr>
        <w:t xml:space="preserve">: Reptilgrottan (Sweden); </w:t>
      </w:r>
      <w:r>
        <w:rPr>
          <w:rFonts w:eastAsia="Times New Roman" w:cs="Times New Roman" w:ascii="Times New Roman" w:hAnsi="Times New Roman"/>
          <w:vertAlign w:val="superscript"/>
        </w:rPr>
        <w:t>2</w:t>
      </w:r>
      <w:r>
        <w:rPr>
          <w:rFonts w:eastAsia="Times New Roman" w:cs="Times New Roman" w:ascii="Times New Roman" w:hAnsi="Times New Roman"/>
        </w:rPr>
        <w:t xml:space="preserve">: Lindesro AB (Sweden); </w:t>
      </w:r>
      <w:r>
        <w:rPr>
          <w:rFonts w:eastAsia="Times New Roman" w:cs="Times New Roman" w:ascii="Times New Roman" w:hAnsi="Times New Roman"/>
          <w:vertAlign w:val="superscript"/>
        </w:rPr>
        <w:t>3</w:t>
      </w:r>
      <w:r>
        <w:rPr>
          <w:rFonts w:eastAsia="Times New Roman" w:cs="Times New Roman" w:ascii="Times New Roman" w:hAnsi="Times New Roman"/>
        </w:rPr>
        <w:t>: Fibe AB (Sweden); UM: University of Montana; SU: Stockholm University.</w:t>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tbl>
      <w:tblPr>
        <w:tblStyle w:val="Table1"/>
        <w:tblW w:w="9595" w:type="dxa"/>
        <w:jc w:val="left"/>
        <w:tblInd w:w="0" w:type="dxa"/>
        <w:tblLayout w:type="fixed"/>
        <w:tblCellMar>
          <w:top w:w="0" w:type="dxa"/>
          <w:left w:w="108" w:type="dxa"/>
          <w:bottom w:w="0" w:type="dxa"/>
          <w:right w:w="108" w:type="dxa"/>
        </w:tblCellMar>
        <w:tblLook w:val="0400"/>
      </w:tblPr>
      <w:tblGrid>
        <w:gridCol w:w="2513"/>
        <w:gridCol w:w="1907"/>
        <w:gridCol w:w="1140"/>
        <w:gridCol w:w="4034"/>
      </w:tblGrid>
      <w:tr>
        <w:trPr>
          <w:trHeight w:val="340" w:hRule="atLeast"/>
        </w:trPr>
        <w:tc>
          <w:tcPr>
            <w:tcW w:w="2513" w:type="dxa"/>
            <w:tcBorders>
              <w:top w:val="single" w:sz="12" w:space="0" w:color="000000"/>
              <w:bottom w:val="single" w:sz="12" w:space="0" w:color="000000"/>
            </w:tcBorders>
            <w:vAlign w:val="bottom"/>
          </w:tcPr>
          <w:p>
            <w:pPr>
              <w:pStyle w:val="LOnormal"/>
              <w:widowControl w:val="false"/>
              <w:spacing w:lineRule="auto" w:line="240"/>
              <w:jc w:val="both"/>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Species</w:t>
            </w:r>
          </w:p>
        </w:tc>
        <w:tc>
          <w:tcPr>
            <w:tcW w:w="1907" w:type="dxa"/>
            <w:tcBorders>
              <w:top w:val="single" w:sz="12" w:space="0" w:color="000000"/>
              <w:bottom w:val="single" w:sz="12" w:space="0" w:color="000000"/>
            </w:tcBorders>
            <w:vAlign w:val="bottom"/>
          </w:tcPr>
          <w:p>
            <w:pPr>
              <w:pStyle w:val="LOnormal"/>
              <w:widowControl w:val="false"/>
              <w:spacing w:lineRule="auto" w:line="240"/>
              <w:jc w:val="center"/>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Order</w:t>
            </w:r>
          </w:p>
        </w:tc>
        <w:tc>
          <w:tcPr>
            <w:tcW w:w="1140" w:type="dxa"/>
            <w:tcBorders>
              <w:top w:val="single" w:sz="12" w:space="0" w:color="000000"/>
              <w:bottom w:val="single" w:sz="12" w:space="0" w:color="000000"/>
            </w:tcBorders>
            <w:vAlign w:val="bottom"/>
          </w:tcPr>
          <w:p>
            <w:pPr>
              <w:pStyle w:val="LOnormal"/>
              <w:widowControl w:val="false"/>
              <w:spacing w:lineRule="auto" w:line="240"/>
              <w:jc w:val="center"/>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Life stage</w:t>
            </w:r>
          </w:p>
        </w:tc>
        <w:tc>
          <w:tcPr>
            <w:tcW w:w="4034" w:type="dxa"/>
            <w:tcBorders>
              <w:top w:val="single" w:sz="12" w:space="0" w:color="000000"/>
              <w:bottom w:val="single" w:sz="12" w:space="0" w:color="000000"/>
            </w:tcBorders>
            <w:vAlign w:val="bottom"/>
          </w:tcPr>
          <w:p>
            <w:pPr>
              <w:pStyle w:val="LOnormal"/>
              <w:widowControl w:val="false"/>
              <w:spacing w:lineRule="auto" w:line="240"/>
              <w:jc w:val="center"/>
              <w:rPr>
                <w:rFonts w:ascii="Times New Roman" w:hAnsi="Times New Roman" w:eastAsia="Times New Roman" w:cs="Times New Roman"/>
                <w:b/>
                <w:b/>
                <w:color w:val="000000"/>
                <w:sz w:val="20"/>
                <w:szCs w:val="20"/>
              </w:rPr>
            </w:pPr>
            <w:r>
              <w:rPr>
                <w:rFonts w:eastAsia="Times New Roman" w:cs="Times New Roman" w:ascii="Times New Roman" w:hAnsi="Times New Roman"/>
                <w:b/>
                <w:color w:val="000000"/>
                <w:sz w:val="20"/>
                <w:szCs w:val="20"/>
              </w:rPr>
              <w:t>Origin</w:t>
            </w:r>
          </w:p>
        </w:tc>
      </w:tr>
      <w:tr>
        <w:trPr>
          <w:trHeight w:val="340" w:hRule="atLeast"/>
        </w:trPr>
        <w:tc>
          <w:tcPr>
            <w:tcW w:w="2513" w:type="dxa"/>
            <w:tcBorders>
              <w:top w:val="single" w:sz="12" w:space="0" w:color="000000"/>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Acheta domesticus</w:t>
            </w:r>
          </w:p>
        </w:tc>
        <w:tc>
          <w:tcPr>
            <w:tcW w:w="1907" w:type="dxa"/>
            <w:tcBorders>
              <w:top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Orthoptera</w:t>
            </w:r>
          </w:p>
        </w:tc>
        <w:tc>
          <w:tcPr>
            <w:tcW w:w="1140" w:type="dxa"/>
            <w:tcBorders>
              <w:top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top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Aphidius colemani</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Aphidius ervi</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Aphidoletes aphidimyza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Blaptica dubia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Blattodea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Bombus pascuorum</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Hymenoptera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Collected in NRM surroundings</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Calliphora vomitoria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3</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Chrysoperla carnea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Neuroptera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Nymph</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Cryptolaemus montrouzieri</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Coleoptera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Dacnusa sibirica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Hymenoptera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Dermestes haemorrhoidalis</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Coleoptera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NRM vertebrate collection</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Drosophila hydei</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Drosophila melanogaster</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Brandon Cooper (UM)</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Drosophila simulans</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Brandon Cooper (UM)</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Drosophila yakuba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Brandon Cooper (UM)</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Encarsia formosa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Hymenoptera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Folsomia candida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Entomobryomorpha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Formica lemani</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Hymenoptera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Collected in NRM surroundings</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Formica rufa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Hymenoptera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Collected in NRM surroundings</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Locusta migratoria</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Orthoptera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Macrolophus pygmaeus</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Hemiptera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2</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Polygonia c-album</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Lepidoptera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Laura van Dijk (SU)</w:t>
            </w:r>
          </w:p>
        </w:tc>
      </w:tr>
      <w:tr>
        <w:trPr>
          <w:trHeight w:val="340" w:hRule="atLeast"/>
        </w:trPr>
        <w:tc>
          <w:tcPr>
            <w:tcW w:w="2513" w:type="dxa"/>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Porcellionides pruinosus</w:t>
            </w:r>
          </w:p>
        </w:tc>
        <w:tc>
          <w:tcPr>
            <w:tcW w:w="1907"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Isopoda</w:t>
            </w:r>
          </w:p>
        </w:tc>
        <w:tc>
          <w:tcPr>
            <w:tcW w:w="1140"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 xml:space="preserve">Commercially purchased </w:t>
            </w:r>
            <w:r>
              <w:rPr>
                <w:rFonts w:eastAsia="Times New Roman" w:cs="Times New Roman" w:ascii="Times New Roman" w:hAnsi="Times New Roman"/>
                <w:color w:val="000000"/>
                <w:sz w:val="20"/>
                <w:szCs w:val="20"/>
                <w:vertAlign w:val="superscript"/>
              </w:rPr>
              <w:t>1</w:t>
            </w:r>
          </w:p>
        </w:tc>
      </w:tr>
      <w:tr>
        <w:trPr>
          <w:trHeight w:val="340" w:hRule="atLeast"/>
        </w:trPr>
        <w:tc>
          <w:tcPr>
            <w:tcW w:w="2513" w:type="dxa"/>
            <w:tcBorders>
              <w:bottom w:val="single" w:sz="12" w:space="0" w:color="000000"/>
            </w:tcBorders>
            <w:vAlign w:val="center"/>
          </w:tcPr>
          <w:p>
            <w:pPr>
              <w:pStyle w:val="LOnormal"/>
              <w:widowControl w:val="false"/>
              <w:spacing w:lineRule="auto" w:line="240"/>
              <w:jc w:val="both"/>
              <w:rPr>
                <w:rFonts w:ascii="Times New Roman" w:hAnsi="Times New Roman" w:eastAsia="Times New Roman" w:cs="Times New Roman"/>
                <w:i/>
                <w:i/>
                <w:color w:val="000000"/>
                <w:sz w:val="20"/>
                <w:szCs w:val="20"/>
              </w:rPr>
            </w:pPr>
            <w:r>
              <w:rPr>
                <w:rFonts w:eastAsia="Times New Roman" w:cs="Times New Roman" w:ascii="Times New Roman" w:hAnsi="Times New Roman"/>
                <w:i/>
                <w:color w:val="000000"/>
                <w:sz w:val="20"/>
                <w:szCs w:val="20"/>
              </w:rPr>
              <w:t>Tuberculatus annulatus</w:t>
            </w:r>
          </w:p>
        </w:tc>
        <w:tc>
          <w:tcPr>
            <w:tcW w:w="1907" w:type="dxa"/>
            <w:tcBorders>
              <w:bottom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Hemiptera</w:t>
            </w:r>
          </w:p>
        </w:tc>
        <w:tc>
          <w:tcPr>
            <w:tcW w:w="1140" w:type="dxa"/>
            <w:tcBorders>
              <w:bottom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Adult</w:t>
            </w:r>
          </w:p>
        </w:tc>
        <w:tc>
          <w:tcPr>
            <w:tcW w:w="4034" w:type="dxa"/>
            <w:tcBorders>
              <w:bottom w:val="single" w:sz="12" w:space="0" w:color="000000"/>
            </w:tcBorders>
            <w:vAlign w:val="center"/>
          </w:tcPr>
          <w:p>
            <w:pPr>
              <w:pStyle w:val="LOnormal"/>
              <w:widowControl w:val="false"/>
              <w:spacing w:lineRule="auto" w:line="240"/>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Donated by Laura van Dijk (SU)</w:t>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r>
        <w:br w:type="page"/>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t>Table S2. Concentration and purity of the DNA extracts.</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2"/>
        <w:tblW w:w="6705" w:type="dxa"/>
        <w:jc w:val="left"/>
        <w:tblInd w:w="0" w:type="dxa"/>
        <w:tblLayout w:type="fixed"/>
        <w:tblCellMar>
          <w:top w:w="100" w:type="dxa"/>
          <w:left w:w="100" w:type="dxa"/>
          <w:bottom w:w="100" w:type="dxa"/>
          <w:right w:w="100" w:type="dxa"/>
        </w:tblCellMar>
        <w:tblLook w:val="0600"/>
      </w:tblPr>
      <w:tblGrid>
        <w:gridCol w:w="2264"/>
        <w:gridCol w:w="2176"/>
        <w:gridCol w:w="2265"/>
      </w:tblGrid>
      <w:tr>
        <w:trPr/>
        <w:tc>
          <w:tcPr>
            <w:tcW w:w="2264" w:type="dxa"/>
            <w:tcBorders>
              <w:top w:val="single" w:sz="12" w:space="0" w:color="000000"/>
              <w:bottom w:val="single" w:sz="12" w:space="0" w:color="000000"/>
            </w:tcBorders>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Sample</w:t>
            </w:r>
          </w:p>
        </w:tc>
        <w:tc>
          <w:tcPr>
            <w:tcW w:w="2176" w:type="dxa"/>
            <w:tcBorders>
              <w:top w:val="single" w:sz="12" w:space="0" w:color="000000"/>
              <w:bottom w:val="single" w:sz="12" w:space="0" w:color="000000"/>
            </w:tcBorders>
          </w:tcPr>
          <w:p>
            <w:pPr>
              <w:pStyle w:val="LOnormal"/>
              <w:widowControl w:val="false"/>
              <w:spacing w:lineRule="auto" w:line="240"/>
              <w:jc w:val="center"/>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Concentration (ng/µL)</w:t>
            </w:r>
          </w:p>
        </w:tc>
        <w:tc>
          <w:tcPr>
            <w:tcW w:w="2265" w:type="dxa"/>
            <w:tcBorders>
              <w:top w:val="single" w:sz="12" w:space="0" w:color="000000"/>
              <w:bottom w:val="single" w:sz="12" w:space="0" w:color="000000"/>
            </w:tcBorders>
          </w:tcPr>
          <w:p>
            <w:pPr>
              <w:pStyle w:val="LOnormal"/>
              <w:widowControl w:val="false"/>
              <w:spacing w:lineRule="auto" w:line="240"/>
              <w:jc w:val="center"/>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A260/A28</w:t>
            </w:r>
          </w:p>
        </w:tc>
      </w:tr>
      <w:tr>
        <w:trPr/>
        <w:tc>
          <w:tcPr>
            <w:tcW w:w="2264" w:type="dxa"/>
            <w:tcBorders>
              <w:top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A1.1.1</w:t>
            </w:r>
          </w:p>
        </w:tc>
        <w:tc>
          <w:tcPr>
            <w:tcW w:w="2176" w:type="dxa"/>
            <w:tcBorders>
              <w:top w:val="single" w:sz="12" w:space="0" w:color="000000"/>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7.6</w:t>
            </w:r>
          </w:p>
        </w:tc>
        <w:tc>
          <w:tcPr>
            <w:tcW w:w="2265" w:type="dxa"/>
            <w:tcBorders>
              <w:top w:val="single" w:sz="12" w:space="0" w:color="000000"/>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1.336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32</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1.882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52</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1.857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20</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1.754</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32</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1.882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49</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1.835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45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1.731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37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1.805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J1.1.1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112</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1.612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4.6</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1.444</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1.416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8.4</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1.615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68</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1.545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5.6</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1.436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71</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1.511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5.4</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1.672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1.843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1.638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J1.1.2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6.1</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1.458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21.5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94.5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1.909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79.5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1.963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77.5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1.925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87.5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1.944</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45.5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1.896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59.5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1.983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69.5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1.958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138</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1.663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J1.2.1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98.5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1.913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5.3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1.472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1.773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84</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8.9</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1.627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6.6</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1.517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9.9</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1.752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80.5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1.519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11.2</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1.815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8.8</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1.676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J1.2.2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1.123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22.5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1.047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1.533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74.5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132.5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1.506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77.5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100</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63.5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1.396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1.555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121</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1.541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J2.1.1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1.511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1.721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12.9</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1.675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1.545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1.618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80</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1.569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83.5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78</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1.608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84</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1.585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J2.1.2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91.5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1.619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120.5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1.746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371.5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1.987</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228</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1.953</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256.5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1.769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269.5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1.739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193.5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1.861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170</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1.838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203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1.829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223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1.702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J2.2.1</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1.732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A2.2.2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8.7</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1.45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B2.2.2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83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1.596</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C2.2.2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91</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1.685</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D2.2.2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97.5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1.699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E2.2.2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23</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1.749</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F2.2.2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114.5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1.672</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G2.2.2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21.5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1.748</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H2.2.2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25.5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1.861</w:t>
            </w:r>
          </w:p>
        </w:tc>
      </w:tr>
      <w:tr>
        <w:trPr/>
        <w:tc>
          <w:tcPr>
            <w:tcW w:w="226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I2.2.2</w:t>
            </w:r>
          </w:p>
        </w:tc>
        <w:tc>
          <w:tcPr>
            <w:tcW w:w="2176"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95.5</w:t>
            </w:r>
          </w:p>
        </w:tc>
        <w:tc>
          <w:tcPr>
            <w:tcW w:w="2265" w:type="dxa"/>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1.619</w:t>
            </w:r>
          </w:p>
        </w:tc>
      </w:tr>
      <w:tr>
        <w:trPr/>
        <w:tc>
          <w:tcPr>
            <w:tcW w:w="2264"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J2.2.2</w:t>
            </w:r>
          </w:p>
        </w:tc>
        <w:tc>
          <w:tcPr>
            <w:tcW w:w="2176" w:type="dxa"/>
            <w:tcBorders>
              <w:bottom w:val="single" w:sz="12" w:space="0" w:color="000000"/>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35.5</w:t>
            </w:r>
          </w:p>
        </w:tc>
        <w:tc>
          <w:tcPr>
            <w:tcW w:w="2265" w:type="dxa"/>
            <w:tcBorders>
              <w:bottom w:val="single" w:sz="12" w:space="0" w:color="000000"/>
            </w:tcBorders>
          </w:tcPr>
          <w:p>
            <w:pPr>
              <w:pStyle w:val="LOnormal"/>
              <w:widowControl w:val="false"/>
              <w:spacing w:lineRule="auto" w:line="240"/>
              <w:jc w:val="center"/>
              <w:rPr>
                <w:rFonts w:ascii="Times New Roman" w:hAnsi="Times New Roman" w:eastAsia="Times New Roman" w:cs="Times New Roman"/>
                <w:sz w:val="20"/>
                <w:szCs w:val="20"/>
              </w:rPr>
            </w:pPr>
            <w:r>
              <w:rPr>
                <w:rFonts w:eastAsia="Times New Roman" w:cs="Times New Roman" w:ascii="Times New Roman" w:hAnsi="Times New Roman"/>
                <w:sz w:val="20"/>
                <w:szCs w:val="20"/>
              </w:rPr>
              <w:t>1.972</w:t>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t xml:space="preserve">Table S3. Split-split-plot analysis of the concentration of the DNA extracts.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3"/>
        <w:tblW w:w="7620" w:type="dxa"/>
        <w:jc w:val="left"/>
        <w:tblInd w:w="0" w:type="dxa"/>
        <w:tblLayout w:type="fixed"/>
        <w:tblCellMar>
          <w:top w:w="100" w:type="dxa"/>
          <w:left w:w="100" w:type="dxa"/>
          <w:bottom w:w="100" w:type="dxa"/>
          <w:right w:w="100" w:type="dxa"/>
        </w:tblCellMar>
        <w:tblLook w:val="0600"/>
      </w:tblPr>
      <w:tblGrid>
        <w:gridCol w:w="2970"/>
        <w:gridCol w:w="494"/>
        <w:gridCol w:w="900"/>
        <w:gridCol w:w="1021"/>
        <w:gridCol w:w="929"/>
        <w:gridCol w:w="1305"/>
      </w:tblGrid>
      <w:tr>
        <w:trPr/>
        <w:tc>
          <w:tcPr>
            <w:tcW w:w="2970" w:type="dxa"/>
            <w:tcBorders>
              <w:top w:val="single" w:sz="12" w:space="0" w:color="000000"/>
              <w:bottom w:val="single" w:sz="12" w:space="0" w:color="000000"/>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00" w:type="dxa"/>
            <w:tcBorders>
              <w:top w:val="single" w:sz="12" w:space="0" w:color="000000"/>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21" w:type="dxa"/>
            <w:tcBorders>
              <w:top w:val="single" w:sz="12" w:space="0" w:color="000000"/>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29" w:type="dxa"/>
            <w:tcBorders>
              <w:top w:val="single" w:sz="12" w:space="0" w:color="000000"/>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305" w:type="dxa"/>
            <w:tcBorders>
              <w:top w:val="single" w:sz="12" w:space="0" w:color="000000"/>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95358</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95358</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56.1690</w:t>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9</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15279</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1698</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31745</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31745</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22.0823</w:t>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7656</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7656</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5.3256</w:t>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0.033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25876</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1438</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Purification</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100437</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100437</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69.0321</w:t>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Buffer*Purification</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21347</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21347</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14.6719</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time*Purification</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24964</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24964</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17.1583</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time*Purification</w:t>
            </w:r>
          </w:p>
        </w:tc>
        <w:tc>
          <w:tcPr>
            <w:tcW w:w="494"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24964</w:t>
            </w:r>
          </w:p>
        </w:tc>
        <w:tc>
          <w:tcPr>
            <w:tcW w:w="1021"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7734</w:t>
            </w:r>
          </w:p>
        </w:tc>
        <w:tc>
          <w:tcPr>
            <w:tcW w:w="929" w:type="dxa"/>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5.3159</w:t>
            </w:r>
          </w:p>
        </w:tc>
        <w:tc>
          <w:tcPr>
            <w:tcW w:w="1305" w:type="dxa"/>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0.027 *</w:t>
            </w:r>
          </w:p>
        </w:tc>
      </w:tr>
      <w:tr>
        <w:trPr/>
        <w:tc>
          <w:tcPr>
            <w:tcW w:w="2970" w:type="dxa"/>
            <w:tcBorders>
              <w:bottom w:val="single" w:sz="12" w:space="0" w:color="000000"/>
            </w:tcBorders>
            <w:shd w:fill="auto" w:val="clear"/>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t>36</w:t>
            </w:r>
          </w:p>
        </w:tc>
        <w:tc>
          <w:tcPr>
            <w:tcW w:w="900" w:type="dxa"/>
            <w:tcBorders>
              <w:bottom w:val="single" w:sz="12" w:space="0" w:color="000000"/>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52378</w:t>
            </w:r>
          </w:p>
        </w:tc>
        <w:tc>
          <w:tcPr>
            <w:tcW w:w="1021" w:type="dxa"/>
            <w:tcBorders>
              <w:bottom w:val="single" w:sz="12" w:space="0" w:color="000000"/>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1455</w:t>
            </w:r>
          </w:p>
        </w:tc>
        <w:tc>
          <w:tcPr>
            <w:tcW w:w="929" w:type="dxa"/>
            <w:tcBorders>
              <w:bottom w:val="single" w:sz="12" w:space="0" w:color="000000"/>
            </w:tcBorders>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bottom w:val="single" w:sz="12" w:space="0" w:color="000000"/>
            </w:tcBorders>
            <w:shd w:fill="auto" w:val="clear"/>
            <w:vAlign w:val="bottom"/>
          </w:tcPr>
          <w:p>
            <w:pPr>
              <w:pStyle w:val="LOnormal"/>
              <w:keepNext w:val="false"/>
              <w:keepLines w:val="false"/>
              <w:widowControl w:val="false"/>
              <w:shd w:val="clear" w:fill="auto"/>
              <w:spacing w:lineRule="auto" w:line="240" w:before="0" w:after="0"/>
              <w:ind w:left="0" w:right="0" w:hanging="0"/>
              <w:jc w:val="left"/>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t xml:space="preserve">Table S4. Split-split-plot analysis of the purity of the DNA extracts.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4"/>
        <w:tblW w:w="7620" w:type="dxa"/>
        <w:jc w:val="left"/>
        <w:tblInd w:w="0" w:type="dxa"/>
        <w:tblLayout w:type="fixed"/>
        <w:tblCellMar>
          <w:top w:w="100" w:type="dxa"/>
          <w:left w:w="100" w:type="dxa"/>
          <w:bottom w:w="100" w:type="dxa"/>
          <w:right w:w="100" w:type="dxa"/>
        </w:tblCellMar>
        <w:tblLook w:val="0600"/>
      </w:tblPr>
      <w:tblGrid>
        <w:gridCol w:w="2970"/>
        <w:gridCol w:w="494"/>
        <w:gridCol w:w="900"/>
        <w:gridCol w:w="1021"/>
        <w:gridCol w:w="929"/>
        <w:gridCol w:w="1305"/>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0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2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29"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30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0.04675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0.04675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3.1122</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0.111</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0.13521</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0.01502</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0.42108</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0.42108</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64.9181</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0.09059</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0.09059</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13.9656</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18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0.11675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0.00649</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0.28322</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0.28322</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13.0630</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0.41357</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0.41357</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19.0751</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0.17391</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0.17391</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8.0214</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&lt; 0.007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0.03536</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0.03536</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1.6311</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0.209</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36 </w:t>
            </w:r>
          </w:p>
        </w:tc>
        <w:tc>
          <w:tcPr>
            <w:tcW w:w="90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0.78052</w:t>
            </w:r>
          </w:p>
        </w:tc>
        <w:tc>
          <w:tcPr>
            <w:tcW w:w="102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0.02168</w:t>
            </w:r>
          </w:p>
        </w:tc>
        <w:tc>
          <w:tcPr>
            <w:tcW w:w="929"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t xml:space="preserve">Table S5. Split-split-plot analysis of the species recovered by COI.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5"/>
        <w:tblW w:w="7620" w:type="dxa"/>
        <w:jc w:val="left"/>
        <w:tblInd w:w="0" w:type="dxa"/>
        <w:tblLayout w:type="fixed"/>
        <w:tblCellMar>
          <w:top w:w="100" w:type="dxa"/>
          <w:left w:w="100" w:type="dxa"/>
          <w:bottom w:w="100" w:type="dxa"/>
          <w:right w:w="100" w:type="dxa"/>
        </w:tblCellMar>
        <w:tblLook w:val="0600"/>
      </w:tblPr>
      <w:tblGrid>
        <w:gridCol w:w="2970"/>
        <w:gridCol w:w="494"/>
        <w:gridCol w:w="900"/>
        <w:gridCol w:w="1021"/>
        <w:gridCol w:w="929"/>
        <w:gridCol w:w="1305"/>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0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2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29"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30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6.7919   </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6.7919</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8.4006</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0.017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7.2766  </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0.8085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0.3807</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0.3807</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1.4283 </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0.247</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0.7434</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0.7434</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2.7893</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0.112</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18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4.7972</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0.2665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3.9114</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3.9114</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5.8246</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0.021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0.0005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0.0005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0.0008</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0.977</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0.0627</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0.0627</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0.0934</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0.761</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1.3889</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1.3889</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2.0682</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0.159</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35 </w:t>
            </w:r>
          </w:p>
        </w:tc>
        <w:tc>
          <w:tcPr>
            <w:tcW w:w="90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23.5038</w:t>
            </w:r>
          </w:p>
        </w:tc>
        <w:tc>
          <w:tcPr>
            <w:tcW w:w="102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0.6715</w:t>
            </w:r>
          </w:p>
        </w:tc>
        <w:tc>
          <w:tcPr>
            <w:tcW w:w="929"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t xml:space="preserve">Table S6. Split-split-plot analysis of the species recovered by 16S.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6"/>
        <w:tblW w:w="7620" w:type="dxa"/>
        <w:jc w:val="left"/>
        <w:tblInd w:w="0" w:type="dxa"/>
        <w:tblLayout w:type="fixed"/>
        <w:tblCellMar>
          <w:top w:w="100" w:type="dxa"/>
          <w:left w:w="100" w:type="dxa"/>
          <w:bottom w:w="100" w:type="dxa"/>
          <w:right w:w="100" w:type="dxa"/>
        </w:tblCellMar>
        <w:tblLook w:val="0600"/>
      </w:tblPr>
      <w:tblGrid>
        <w:gridCol w:w="2970"/>
        <w:gridCol w:w="494"/>
        <w:gridCol w:w="900"/>
        <w:gridCol w:w="1021"/>
        <w:gridCol w:w="929"/>
        <w:gridCol w:w="1305"/>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0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2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29"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30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3.6125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3.6125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1.8834</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0.203</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17.2625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1.9181</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2.1125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2.1125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2.4493</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0.135</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2.1125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2.1125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2.4493</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0.135</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18 </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15.5250</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0.8625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0.0857</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0.771</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0.0857</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0.771</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0.7714</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0.385</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time*Purification</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0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102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0.0125</w:t>
            </w:r>
          </w:p>
        </w:tc>
        <w:tc>
          <w:tcPr>
            <w:tcW w:w="929"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0.7714</w:t>
            </w:r>
          </w:p>
        </w:tc>
        <w:tc>
          <w:tcPr>
            <w:tcW w:w="130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0.385</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36 </w:t>
            </w:r>
          </w:p>
        </w:tc>
        <w:tc>
          <w:tcPr>
            <w:tcW w:w="90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5.2500</w:t>
            </w:r>
          </w:p>
        </w:tc>
        <w:tc>
          <w:tcPr>
            <w:tcW w:w="102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0.1458</w:t>
            </w:r>
          </w:p>
        </w:tc>
        <w:tc>
          <w:tcPr>
            <w:tcW w:w="929"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305"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S7. Split-plot analysis of the reduction in H’ between estimated community composition using COI metabarcoding and actual community composition based on biomass.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tbl>
      <w:tblPr>
        <w:tblStyle w:val="Table7"/>
        <w:tblW w:w="6915" w:type="dxa"/>
        <w:jc w:val="left"/>
        <w:tblInd w:w="0" w:type="dxa"/>
        <w:tblLayout w:type="fixed"/>
        <w:tblCellMar>
          <w:top w:w="100" w:type="dxa"/>
          <w:left w:w="100" w:type="dxa"/>
          <w:bottom w:w="100" w:type="dxa"/>
          <w:right w:w="100" w:type="dxa"/>
        </w:tblCellMar>
        <w:tblLook w:val="0600"/>
      </w:tblPr>
      <w:tblGrid>
        <w:gridCol w:w="2174"/>
        <w:gridCol w:w="870"/>
        <w:gridCol w:w="945"/>
        <w:gridCol w:w="1110"/>
        <w:gridCol w:w="901"/>
        <w:gridCol w:w="914"/>
      </w:tblGrid>
      <w:tr>
        <w:trPr>
          <w:trHeight w:val="420" w:hRule="atLeast"/>
        </w:trPr>
        <w:tc>
          <w:tcPr>
            <w:tcW w:w="2174"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87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4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11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0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91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2.00363</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2.00363</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13.9469</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0.004 **</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1.29295</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0.14366</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0.00655</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0.00655</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0.0571</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0.813</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0.09723</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0.09723</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0.8483</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0.369</w:t>
            </w:r>
          </w:p>
        </w:tc>
      </w:tr>
      <w:tr>
        <w:trPr/>
        <w:tc>
          <w:tcPr>
            <w:tcW w:w="2174"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4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2.06321</w:t>
            </w:r>
          </w:p>
        </w:tc>
        <w:tc>
          <w:tcPr>
            <w:tcW w:w="111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0.11462</w:t>
            </w:r>
          </w:p>
        </w:tc>
        <w:tc>
          <w:tcPr>
            <w:tcW w:w="90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S8. Split-plot analysis of the reduction in H’ between estimated community composition using COI metabarcoding and actual community composition based on the number of specimens.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tbl>
      <w:tblPr>
        <w:tblStyle w:val="Table8"/>
        <w:tblW w:w="6915" w:type="dxa"/>
        <w:jc w:val="left"/>
        <w:tblInd w:w="0" w:type="dxa"/>
        <w:tblLayout w:type="fixed"/>
        <w:tblCellMar>
          <w:top w:w="100" w:type="dxa"/>
          <w:left w:w="100" w:type="dxa"/>
          <w:bottom w:w="100" w:type="dxa"/>
          <w:right w:w="100" w:type="dxa"/>
        </w:tblCellMar>
        <w:tblLook w:val="0600"/>
      </w:tblPr>
      <w:tblGrid>
        <w:gridCol w:w="2174"/>
        <w:gridCol w:w="870"/>
        <w:gridCol w:w="945"/>
        <w:gridCol w:w="1110"/>
        <w:gridCol w:w="901"/>
        <w:gridCol w:w="914"/>
      </w:tblGrid>
      <w:tr>
        <w:trPr>
          <w:trHeight w:val="420" w:hRule="atLeast"/>
        </w:trPr>
        <w:tc>
          <w:tcPr>
            <w:tcW w:w="2174"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87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4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11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0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91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2.00363</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2.00363</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13.9469</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0.004 **</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1.29295</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0.14366</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0.00655</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0.00655</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0.0571</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0.813</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0.09723</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0.09723</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0.8483</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0.369</w:t>
            </w:r>
          </w:p>
        </w:tc>
      </w:tr>
      <w:tr>
        <w:trPr/>
        <w:tc>
          <w:tcPr>
            <w:tcW w:w="2174"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4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2.06321</w:t>
            </w:r>
          </w:p>
        </w:tc>
        <w:tc>
          <w:tcPr>
            <w:tcW w:w="111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0.11462</w:t>
            </w:r>
          </w:p>
        </w:tc>
        <w:tc>
          <w:tcPr>
            <w:tcW w:w="90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S9. Split-plot analysis of the reduction of H’ between estimated community composition using 16S metabarcoding and actual community composition based on biomass.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tbl>
      <w:tblPr>
        <w:tblStyle w:val="Table9"/>
        <w:tblW w:w="6915" w:type="dxa"/>
        <w:jc w:val="left"/>
        <w:tblInd w:w="0" w:type="dxa"/>
        <w:tblLayout w:type="fixed"/>
        <w:tblCellMar>
          <w:top w:w="100" w:type="dxa"/>
          <w:left w:w="100" w:type="dxa"/>
          <w:bottom w:w="100" w:type="dxa"/>
          <w:right w:w="100" w:type="dxa"/>
        </w:tblCellMar>
        <w:tblLook w:val="0600"/>
      </w:tblPr>
      <w:tblGrid>
        <w:gridCol w:w="2174"/>
        <w:gridCol w:w="870"/>
        <w:gridCol w:w="945"/>
        <w:gridCol w:w="1110"/>
        <w:gridCol w:w="901"/>
        <w:gridCol w:w="914"/>
      </w:tblGrid>
      <w:tr>
        <w:trPr>
          <w:trHeight w:val="420" w:hRule="atLeast"/>
        </w:trPr>
        <w:tc>
          <w:tcPr>
            <w:tcW w:w="2174"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87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4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11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0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91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1.95750</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1.95750</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16.0041</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0.003 **</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1.1008</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0.12231</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0.23279</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0.23279</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0.9474</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0.343</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0.21601</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0.21601</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0.8795</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0.360</w:t>
            </w:r>
          </w:p>
        </w:tc>
      </w:tr>
      <w:tr>
        <w:trPr/>
        <w:tc>
          <w:tcPr>
            <w:tcW w:w="2174"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4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4.4209</w:t>
            </w:r>
          </w:p>
        </w:tc>
        <w:tc>
          <w:tcPr>
            <w:tcW w:w="111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0.24560</w:t>
            </w:r>
          </w:p>
        </w:tc>
        <w:tc>
          <w:tcPr>
            <w:tcW w:w="90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276"/>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S10. Split-plot analysis of the reduction of H’ between estimated community composition using 16S metabarcoding and actual community composition based on the number of specimens.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tbl>
      <w:tblPr>
        <w:tblStyle w:val="Table10"/>
        <w:tblW w:w="6915" w:type="dxa"/>
        <w:jc w:val="left"/>
        <w:tblInd w:w="0" w:type="dxa"/>
        <w:tblLayout w:type="fixed"/>
        <w:tblCellMar>
          <w:top w:w="100" w:type="dxa"/>
          <w:left w:w="100" w:type="dxa"/>
          <w:bottom w:w="100" w:type="dxa"/>
          <w:right w:w="100" w:type="dxa"/>
        </w:tblCellMar>
        <w:tblLook w:val="0600"/>
      </w:tblPr>
      <w:tblGrid>
        <w:gridCol w:w="2174"/>
        <w:gridCol w:w="870"/>
        <w:gridCol w:w="945"/>
        <w:gridCol w:w="1110"/>
        <w:gridCol w:w="901"/>
        <w:gridCol w:w="914"/>
      </w:tblGrid>
      <w:tr>
        <w:trPr>
          <w:trHeight w:val="420" w:hRule="atLeast"/>
        </w:trPr>
        <w:tc>
          <w:tcPr>
            <w:tcW w:w="2174"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87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4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11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0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91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1.95750</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1.95750</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16.0041</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0.003 **</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1.1008</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0.12231</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0.23279</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0.23279</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0.9474</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0.343</w:t>
            </w:r>
          </w:p>
        </w:tc>
      </w:tr>
      <w:tr>
        <w:trPr/>
        <w:tc>
          <w:tcPr>
            <w:tcW w:w="2174"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87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4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0.21601</w:t>
            </w:r>
          </w:p>
        </w:tc>
        <w:tc>
          <w:tcPr>
            <w:tcW w:w="111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0.21601</w:t>
            </w:r>
          </w:p>
        </w:tc>
        <w:tc>
          <w:tcPr>
            <w:tcW w:w="90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0.8795</w:t>
            </w:r>
          </w:p>
        </w:tc>
        <w:tc>
          <w:tcPr>
            <w:tcW w:w="91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0.360</w:t>
            </w:r>
          </w:p>
        </w:tc>
      </w:tr>
      <w:tr>
        <w:trPr/>
        <w:tc>
          <w:tcPr>
            <w:tcW w:w="2174"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870"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4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4.4209</w:t>
            </w:r>
          </w:p>
        </w:tc>
        <w:tc>
          <w:tcPr>
            <w:tcW w:w="111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0.24560</w:t>
            </w:r>
          </w:p>
        </w:tc>
        <w:tc>
          <w:tcPr>
            <w:tcW w:w="90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91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S11. Split-plot analysis of the Kullback-Leibler divergences between estimated community composition using COI metabarcoding and actual community composition based on biomass.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11"/>
        <w:tblW w:w="7620" w:type="dxa"/>
        <w:jc w:val="left"/>
        <w:tblInd w:w="0" w:type="dxa"/>
        <w:tblLayout w:type="fixed"/>
        <w:tblCellMar>
          <w:top w:w="100" w:type="dxa"/>
          <w:left w:w="100" w:type="dxa"/>
          <w:bottom w:w="100" w:type="dxa"/>
          <w:right w:w="100" w:type="dxa"/>
        </w:tblCellMar>
        <w:tblLook w:val="0600"/>
      </w:tblPr>
      <w:tblGrid>
        <w:gridCol w:w="2970"/>
        <w:gridCol w:w="494"/>
        <w:gridCol w:w="1005"/>
        <w:gridCol w:w="1050"/>
        <w:gridCol w:w="990"/>
        <w:gridCol w:w="1110"/>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100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5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9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11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05"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1.38•10</w:t>
            </w:r>
            <w:r>
              <w:rPr>
                <w:rFonts w:eastAsia="Times New Roman" w:cs="Times New Roman" w:ascii="Times New Roman" w:hAnsi="Times New Roman"/>
                <w:sz w:val="20"/>
                <w:szCs w:val="20"/>
                <w:vertAlign w:val="superscript"/>
              </w:rPr>
              <w:t>-4</w:t>
            </w:r>
          </w:p>
        </w:tc>
        <w:tc>
          <w:tcPr>
            <w:tcW w:w="1050"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1.38•10</w:t>
            </w:r>
            <w:r>
              <w:rPr>
                <w:rFonts w:eastAsia="Times New Roman" w:cs="Times New Roman" w:ascii="Times New Roman" w:hAnsi="Times New Roman"/>
                <w:sz w:val="20"/>
                <w:szCs w:val="20"/>
                <w:vertAlign w:val="superscript"/>
              </w:rPr>
              <w:t>-4</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9.0642</w:t>
            </w:r>
          </w:p>
        </w:tc>
        <w:tc>
          <w:tcPr>
            <w:tcW w:w="111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0.014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9 </w:t>
            </w:r>
          </w:p>
        </w:tc>
        <w:tc>
          <w:tcPr>
            <w:tcW w:w="1005"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1.37•10</w:t>
            </w:r>
            <w:r>
              <w:rPr>
                <w:rFonts w:eastAsia="Times New Roman" w:cs="Times New Roman" w:ascii="Times New Roman" w:hAnsi="Times New Roman"/>
                <w:sz w:val="20"/>
                <w:szCs w:val="20"/>
                <w:vertAlign w:val="superscript"/>
              </w:rPr>
              <w:t>-4</w:t>
            </w:r>
          </w:p>
        </w:tc>
        <w:tc>
          <w:tcPr>
            <w:tcW w:w="1050"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1.52•10</w:t>
            </w:r>
            <w:r>
              <w:rPr>
                <w:rFonts w:eastAsia="Times New Roman" w:cs="Times New Roman" w:ascii="Times New Roman" w:hAnsi="Times New Roman"/>
                <w:sz w:val="20"/>
                <w:szCs w:val="20"/>
                <w:vertAlign w:val="superscript"/>
              </w:rPr>
              <w:t>-5</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11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05"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6.26•10</w:t>
            </w:r>
            <w:r>
              <w:rPr>
                <w:rFonts w:eastAsia="Times New Roman" w:cs="Times New Roman" w:ascii="Times New Roman" w:hAnsi="Times New Roman"/>
                <w:sz w:val="20"/>
                <w:szCs w:val="20"/>
                <w:vertAlign w:val="superscript"/>
              </w:rPr>
              <w:t>-7</w:t>
            </w:r>
          </w:p>
        </w:tc>
        <w:tc>
          <w:tcPr>
            <w:tcW w:w="1050"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6.26•10</w:t>
            </w:r>
            <w:r>
              <w:rPr>
                <w:rFonts w:eastAsia="Times New Roman" w:cs="Times New Roman" w:ascii="Times New Roman" w:hAnsi="Times New Roman"/>
                <w:sz w:val="20"/>
                <w:szCs w:val="20"/>
                <w:vertAlign w:val="superscript"/>
              </w:rPr>
              <w:t>-7</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0.0547</w:t>
            </w:r>
          </w:p>
        </w:tc>
        <w:tc>
          <w:tcPr>
            <w:tcW w:w="111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0.817</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05"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3.13•10</w:t>
            </w:r>
            <w:r>
              <w:rPr>
                <w:rFonts w:eastAsia="Times New Roman" w:cs="Times New Roman" w:ascii="Times New Roman" w:hAnsi="Times New Roman"/>
                <w:sz w:val="20"/>
                <w:szCs w:val="20"/>
                <w:vertAlign w:val="superscript"/>
              </w:rPr>
              <w:t>-7</w:t>
            </w:r>
          </w:p>
        </w:tc>
        <w:tc>
          <w:tcPr>
            <w:tcW w:w="1050" w:type="dxa"/>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3.13•10</w:t>
            </w:r>
            <w:r>
              <w:rPr>
                <w:rFonts w:eastAsia="Times New Roman" w:cs="Times New Roman" w:ascii="Times New Roman" w:hAnsi="Times New Roman"/>
                <w:sz w:val="20"/>
                <w:szCs w:val="20"/>
                <w:vertAlign w:val="superscript"/>
              </w:rPr>
              <w:t>-7</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0.0274</w:t>
            </w:r>
          </w:p>
        </w:tc>
        <w:tc>
          <w:tcPr>
            <w:tcW w:w="1110"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0.870</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100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2.05•10</w:t>
            </w:r>
            <w:r>
              <w:rPr>
                <w:rFonts w:eastAsia="Times New Roman" w:cs="Times New Roman" w:ascii="Times New Roman" w:hAnsi="Times New Roman"/>
                <w:sz w:val="20"/>
                <w:szCs w:val="20"/>
                <w:vertAlign w:val="superscript"/>
              </w:rPr>
              <w:t>-4</w:t>
            </w:r>
          </w:p>
        </w:tc>
        <w:tc>
          <w:tcPr>
            <w:tcW w:w="105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vertAlign w:val="superscript"/>
              </w:rPr>
            </w:pPr>
            <w:r>
              <w:rPr>
                <w:rFonts w:eastAsia="Times New Roman" w:cs="Times New Roman" w:ascii="Times New Roman" w:hAnsi="Times New Roman"/>
                <w:sz w:val="20"/>
                <w:szCs w:val="20"/>
              </w:rPr>
              <w:t>1.14•10</w:t>
            </w:r>
            <w:r>
              <w:rPr>
                <w:rFonts w:eastAsia="Times New Roman" w:cs="Times New Roman" w:ascii="Times New Roman" w:hAnsi="Times New Roman"/>
                <w:sz w:val="20"/>
                <w:szCs w:val="20"/>
                <w:vertAlign w:val="superscript"/>
              </w:rPr>
              <w:t>-5</w:t>
            </w:r>
          </w:p>
        </w:tc>
        <w:tc>
          <w:tcPr>
            <w:tcW w:w="99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110"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S12. Split-plot analysis of the Kullback-Leibler divergences between estimated community composition using COI metabarcoding and actual community composition based on the number of specimens.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12"/>
        <w:tblW w:w="7620" w:type="dxa"/>
        <w:jc w:val="left"/>
        <w:tblInd w:w="0" w:type="dxa"/>
        <w:tblLayout w:type="fixed"/>
        <w:tblCellMar>
          <w:top w:w="100" w:type="dxa"/>
          <w:left w:w="100" w:type="dxa"/>
          <w:bottom w:w="100" w:type="dxa"/>
          <w:right w:w="100" w:type="dxa"/>
        </w:tblCellMar>
        <w:tblLook w:val="0600"/>
      </w:tblPr>
      <w:tblGrid>
        <w:gridCol w:w="2970"/>
        <w:gridCol w:w="494"/>
        <w:gridCol w:w="1050"/>
        <w:gridCol w:w="1140"/>
        <w:gridCol w:w="887"/>
        <w:gridCol w:w="1078"/>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105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14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887"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078"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5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1.60•10</w:t>
            </w:r>
            <w:r>
              <w:rPr>
                <w:rFonts w:eastAsia="Times New Roman" w:cs="Times New Roman" w:ascii="Times New Roman" w:hAnsi="Times New Roman"/>
                <w:sz w:val="20"/>
                <w:szCs w:val="20"/>
                <w:vertAlign w:val="superscript"/>
              </w:rPr>
              <w:t>-4</w:t>
            </w:r>
          </w:p>
        </w:tc>
        <w:tc>
          <w:tcPr>
            <w:tcW w:w="114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1.60•10</w:t>
            </w:r>
            <w:r>
              <w:rPr>
                <w:rFonts w:eastAsia="Times New Roman" w:cs="Times New Roman" w:ascii="Times New Roman" w:hAnsi="Times New Roman"/>
                <w:sz w:val="20"/>
                <w:szCs w:val="20"/>
                <w:vertAlign w:val="superscript"/>
              </w:rPr>
              <w:t>-4</w:t>
            </w:r>
          </w:p>
        </w:tc>
        <w:tc>
          <w:tcPr>
            <w:tcW w:w="887"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9.1374</w:t>
            </w:r>
          </w:p>
        </w:tc>
        <w:tc>
          <w:tcPr>
            <w:tcW w:w="1078"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0.014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w:t>
            </w:r>
          </w:p>
        </w:tc>
        <w:tc>
          <w:tcPr>
            <w:tcW w:w="105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1.58•10</w:t>
            </w:r>
            <w:r>
              <w:rPr>
                <w:rFonts w:eastAsia="Times New Roman" w:cs="Times New Roman" w:ascii="Times New Roman" w:hAnsi="Times New Roman"/>
                <w:sz w:val="20"/>
                <w:szCs w:val="20"/>
                <w:vertAlign w:val="superscript"/>
              </w:rPr>
              <w:t>-4</w:t>
            </w:r>
          </w:p>
        </w:tc>
        <w:tc>
          <w:tcPr>
            <w:tcW w:w="114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1.76•10</w:t>
            </w:r>
            <w:r>
              <w:rPr>
                <w:rFonts w:eastAsia="Times New Roman" w:cs="Times New Roman" w:ascii="Times New Roman" w:hAnsi="Times New Roman"/>
                <w:sz w:val="20"/>
                <w:szCs w:val="20"/>
                <w:vertAlign w:val="superscript"/>
              </w:rPr>
              <w:t>-5</w:t>
            </w:r>
          </w:p>
        </w:tc>
        <w:tc>
          <w:tcPr>
            <w:tcW w:w="887"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078"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5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6.90•10</w:t>
            </w:r>
            <w:r>
              <w:rPr>
                <w:rFonts w:eastAsia="Times New Roman" w:cs="Times New Roman" w:ascii="Times New Roman" w:hAnsi="Times New Roman"/>
                <w:sz w:val="20"/>
                <w:szCs w:val="20"/>
                <w:vertAlign w:val="superscript"/>
              </w:rPr>
              <w:t>-8</w:t>
            </w:r>
          </w:p>
        </w:tc>
        <w:tc>
          <w:tcPr>
            <w:tcW w:w="114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6.90•10</w:t>
            </w:r>
            <w:r>
              <w:rPr>
                <w:rFonts w:eastAsia="Times New Roman" w:cs="Times New Roman" w:ascii="Times New Roman" w:hAnsi="Times New Roman"/>
                <w:sz w:val="20"/>
                <w:szCs w:val="20"/>
                <w:vertAlign w:val="superscript"/>
              </w:rPr>
              <w:t>-8</w:t>
            </w:r>
          </w:p>
        </w:tc>
        <w:tc>
          <w:tcPr>
            <w:tcW w:w="887"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0.0047</w:t>
            </w:r>
          </w:p>
        </w:tc>
        <w:tc>
          <w:tcPr>
            <w:tcW w:w="1078"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0.946</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105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1.70•10</w:t>
            </w:r>
            <w:r>
              <w:rPr>
                <w:rFonts w:eastAsia="Times New Roman" w:cs="Times New Roman" w:ascii="Times New Roman" w:hAnsi="Times New Roman"/>
                <w:sz w:val="20"/>
                <w:szCs w:val="20"/>
                <w:vertAlign w:val="superscript"/>
              </w:rPr>
              <w:t>-7</w:t>
            </w:r>
          </w:p>
        </w:tc>
        <w:tc>
          <w:tcPr>
            <w:tcW w:w="114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1.70•10</w:t>
            </w:r>
            <w:r>
              <w:rPr>
                <w:rFonts w:eastAsia="Times New Roman" w:cs="Times New Roman" w:ascii="Times New Roman" w:hAnsi="Times New Roman"/>
                <w:sz w:val="20"/>
                <w:szCs w:val="20"/>
                <w:vertAlign w:val="superscript"/>
              </w:rPr>
              <w:t>-7</w:t>
            </w:r>
          </w:p>
        </w:tc>
        <w:tc>
          <w:tcPr>
            <w:tcW w:w="887"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0.0115</w:t>
            </w:r>
          </w:p>
        </w:tc>
        <w:tc>
          <w:tcPr>
            <w:tcW w:w="1078"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0.915</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105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4.7507</w:t>
            </w:r>
          </w:p>
        </w:tc>
        <w:tc>
          <w:tcPr>
            <w:tcW w:w="114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0.26393</w:t>
            </w:r>
          </w:p>
        </w:tc>
        <w:tc>
          <w:tcPr>
            <w:tcW w:w="887"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078"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S13. Split-plot analysis of the Kullback-Leibler divergences between estimated community composition using 16S metabarcoding and actual community composition based on biomass.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13"/>
        <w:tblW w:w="7620" w:type="dxa"/>
        <w:jc w:val="left"/>
        <w:tblInd w:w="0" w:type="dxa"/>
        <w:tblLayout w:type="fixed"/>
        <w:tblCellMar>
          <w:top w:w="100" w:type="dxa"/>
          <w:left w:w="100" w:type="dxa"/>
          <w:bottom w:w="100" w:type="dxa"/>
          <w:right w:w="100" w:type="dxa"/>
        </w:tblCellMar>
        <w:tblLook w:val="0600"/>
      </w:tblPr>
      <w:tblGrid>
        <w:gridCol w:w="2970"/>
        <w:gridCol w:w="494"/>
        <w:gridCol w:w="990"/>
        <w:gridCol w:w="1005"/>
        <w:gridCol w:w="931"/>
        <w:gridCol w:w="1229"/>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9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0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931"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229"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9.99•10</w:t>
            </w:r>
            <w:r>
              <w:rPr>
                <w:rFonts w:eastAsia="Times New Roman" w:cs="Times New Roman" w:ascii="Times New Roman" w:hAnsi="Times New Roman"/>
                <w:sz w:val="20"/>
                <w:szCs w:val="20"/>
                <w:vertAlign w:val="superscript"/>
              </w:rPr>
              <w:t>-5</w:t>
            </w:r>
          </w:p>
        </w:tc>
        <w:tc>
          <w:tcPr>
            <w:tcW w:w="100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9.99•10</w:t>
            </w:r>
            <w:r>
              <w:rPr>
                <w:rFonts w:eastAsia="Times New Roman" w:cs="Times New Roman" w:ascii="Times New Roman" w:hAnsi="Times New Roman"/>
                <w:sz w:val="20"/>
                <w:szCs w:val="20"/>
                <w:vertAlign w:val="superscript"/>
              </w:rPr>
              <w:t>-5</w:t>
            </w:r>
          </w:p>
        </w:tc>
        <w:tc>
          <w:tcPr>
            <w:tcW w:w="93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8.1559</w:t>
            </w:r>
          </w:p>
        </w:tc>
        <w:tc>
          <w:tcPr>
            <w:tcW w:w="1229"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0.018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1.10•10</w:t>
            </w:r>
            <w:r>
              <w:rPr>
                <w:rFonts w:eastAsia="Times New Roman" w:cs="Times New Roman" w:ascii="Times New Roman" w:hAnsi="Times New Roman"/>
                <w:sz w:val="20"/>
                <w:szCs w:val="20"/>
                <w:vertAlign w:val="superscript"/>
              </w:rPr>
              <w:t>-4</w:t>
            </w:r>
          </w:p>
        </w:tc>
        <w:tc>
          <w:tcPr>
            <w:tcW w:w="100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1.22•10</w:t>
            </w:r>
            <w:r>
              <w:rPr>
                <w:rFonts w:eastAsia="Times New Roman" w:cs="Times New Roman" w:ascii="Times New Roman" w:hAnsi="Times New Roman"/>
                <w:sz w:val="20"/>
                <w:szCs w:val="20"/>
                <w:vertAlign w:val="superscript"/>
              </w:rPr>
              <w:t>-5</w:t>
            </w:r>
          </w:p>
        </w:tc>
        <w:tc>
          <w:tcPr>
            <w:tcW w:w="93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229"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8.86•10</w:t>
            </w:r>
            <w:r>
              <w:rPr>
                <w:rFonts w:eastAsia="Times New Roman" w:cs="Times New Roman" w:ascii="Times New Roman" w:hAnsi="Times New Roman"/>
                <w:sz w:val="20"/>
                <w:szCs w:val="20"/>
                <w:vertAlign w:val="superscript"/>
              </w:rPr>
              <w:t>-6</w:t>
            </w:r>
          </w:p>
        </w:tc>
        <w:tc>
          <w:tcPr>
            <w:tcW w:w="100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8.86•10</w:t>
            </w:r>
            <w:r>
              <w:rPr>
                <w:rFonts w:eastAsia="Times New Roman" w:cs="Times New Roman" w:ascii="Times New Roman" w:hAnsi="Times New Roman"/>
                <w:sz w:val="20"/>
                <w:szCs w:val="20"/>
                <w:vertAlign w:val="superscript"/>
              </w:rPr>
              <w:t>-6</w:t>
            </w:r>
          </w:p>
        </w:tc>
        <w:tc>
          <w:tcPr>
            <w:tcW w:w="93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0.2893</w:t>
            </w:r>
          </w:p>
        </w:tc>
        <w:tc>
          <w:tcPr>
            <w:tcW w:w="1229"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0.597</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1.01•10</w:t>
            </w:r>
            <w:r>
              <w:rPr>
                <w:rFonts w:eastAsia="Times New Roman" w:cs="Times New Roman" w:ascii="Times New Roman" w:hAnsi="Times New Roman"/>
                <w:sz w:val="20"/>
                <w:szCs w:val="20"/>
                <w:vertAlign w:val="superscript"/>
              </w:rPr>
              <w:t>-4</w:t>
            </w:r>
          </w:p>
        </w:tc>
        <w:tc>
          <w:tcPr>
            <w:tcW w:w="1005"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1.01•10</w:t>
            </w:r>
            <w:r>
              <w:rPr>
                <w:rFonts w:eastAsia="Times New Roman" w:cs="Times New Roman" w:ascii="Times New Roman" w:hAnsi="Times New Roman"/>
                <w:sz w:val="20"/>
                <w:szCs w:val="20"/>
                <w:vertAlign w:val="superscript"/>
              </w:rPr>
              <w:t>-4</w:t>
            </w:r>
          </w:p>
        </w:tc>
        <w:tc>
          <w:tcPr>
            <w:tcW w:w="931"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3.2862</w:t>
            </w:r>
          </w:p>
        </w:tc>
        <w:tc>
          <w:tcPr>
            <w:tcW w:w="1229"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0.086</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9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5.51•10</w:t>
            </w:r>
            <w:r>
              <w:rPr>
                <w:rFonts w:eastAsia="Times New Roman" w:cs="Times New Roman" w:ascii="Times New Roman" w:hAnsi="Times New Roman"/>
                <w:sz w:val="20"/>
                <w:szCs w:val="20"/>
                <w:vertAlign w:val="superscript"/>
              </w:rPr>
              <w:t>-4</w:t>
            </w:r>
          </w:p>
        </w:tc>
        <w:tc>
          <w:tcPr>
            <w:tcW w:w="1005"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3.06•10</w:t>
            </w:r>
            <w:r>
              <w:rPr>
                <w:rFonts w:eastAsia="Times New Roman" w:cs="Times New Roman" w:ascii="Times New Roman" w:hAnsi="Times New Roman"/>
                <w:sz w:val="20"/>
                <w:szCs w:val="20"/>
                <w:vertAlign w:val="superscript"/>
              </w:rPr>
              <w:t>-5</w:t>
            </w:r>
          </w:p>
        </w:tc>
        <w:tc>
          <w:tcPr>
            <w:tcW w:w="931"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229"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rPr>
          <w:rFonts w:ascii="Times New Roman" w:hAnsi="Times New Roman" w:eastAsia="Times New Roman" w:cs="Times New Roman"/>
          <w:b/>
          <w:b/>
        </w:rPr>
      </w:pPr>
      <w:r>
        <w:rPr>
          <w:rFonts w:eastAsia="Times New Roman" w:cs="Times New Roman" w:ascii="Times New Roman" w:hAnsi="Times New Roman"/>
          <w:b/>
        </w:rPr>
      </w:r>
    </w:p>
    <w:p>
      <w:pPr>
        <w:pStyle w:val="LOnormal"/>
        <w:pageBreakBefore w:val="false"/>
        <w:spacing w:lineRule="auto" w:line="360"/>
        <w:rPr>
          <w:rFonts w:ascii="Times New Roman" w:hAnsi="Times New Roman" w:eastAsia="Times New Roman" w:cs="Times New Roman"/>
        </w:rPr>
      </w:pPr>
      <w:r>
        <w:rPr>
          <w:rFonts w:eastAsia="Times New Roman" w:cs="Times New Roman" w:ascii="Times New Roman" w:hAnsi="Times New Roman"/>
          <w:b/>
        </w:rPr>
        <w:t xml:space="preserve">Table S14. Split-plot analysis of the Kullback-Leibler divergences between estimated community composition using 16S metabarcoding and actual community composition based on the number of specimens. </w:t>
      </w:r>
      <w:r>
        <w:rPr>
          <w:rFonts w:eastAsia="Times New Roman" w:cs="Times New Roman" w:ascii="Times New Roman" w:hAnsi="Times New Roman"/>
        </w:rPr>
        <w:t>Asterisks indicate levels of significance: * p-value &lt; 0.05; ** p-value &lt; 0.01; *** p-value &lt; 0.001.</w:t>
      </w:r>
    </w:p>
    <w:p>
      <w:pPr>
        <w:pStyle w:val="LOnormal"/>
        <w:pageBreakBefore w:val="false"/>
        <w:spacing w:lineRule="auto" w:line="360"/>
        <w:jc w:val="both"/>
        <w:rPr>
          <w:rFonts w:ascii="Times New Roman" w:hAnsi="Times New Roman" w:eastAsia="Times New Roman" w:cs="Times New Roman"/>
          <w:b/>
          <w:b/>
        </w:rPr>
      </w:pPr>
      <w:r>
        <w:rPr>
          <w:rFonts w:eastAsia="Times New Roman" w:cs="Times New Roman" w:ascii="Times New Roman" w:hAnsi="Times New Roman"/>
          <w:b/>
        </w:rPr>
      </w:r>
    </w:p>
    <w:tbl>
      <w:tblPr>
        <w:tblStyle w:val="Table14"/>
        <w:tblW w:w="7620" w:type="dxa"/>
        <w:jc w:val="left"/>
        <w:tblInd w:w="0" w:type="dxa"/>
        <w:tblLayout w:type="fixed"/>
        <w:tblCellMar>
          <w:top w:w="100" w:type="dxa"/>
          <w:left w:w="100" w:type="dxa"/>
          <w:bottom w:w="100" w:type="dxa"/>
          <w:right w:w="100" w:type="dxa"/>
        </w:tblCellMar>
        <w:tblLook w:val="0600"/>
      </w:tblPr>
      <w:tblGrid>
        <w:gridCol w:w="2970"/>
        <w:gridCol w:w="494"/>
        <w:gridCol w:w="990"/>
        <w:gridCol w:w="1036"/>
        <w:gridCol w:w="884"/>
        <w:gridCol w:w="1245"/>
      </w:tblGrid>
      <w:tr>
        <w:trPr/>
        <w:tc>
          <w:tcPr>
            <w:tcW w:w="2970" w:type="dxa"/>
            <w:tcBorders>
              <w:top w:val="single" w:sz="12" w:space="0" w:color="000000"/>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Factor</w:t>
            </w:r>
          </w:p>
        </w:tc>
        <w:tc>
          <w:tcPr>
            <w:tcW w:w="49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Df</w:t>
            </w:r>
          </w:p>
        </w:tc>
        <w:tc>
          <w:tcPr>
            <w:tcW w:w="990"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Sum Sq</w:t>
            </w:r>
          </w:p>
        </w:tc>
        <w:tc>
          <w:tcPr>
            <w:tcW w:w="1036"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Mean Sq</w:t>
            </w:r>
          </w:p>
        </w:tc>
        <w:tc>
          <w:tcPr>
            <w:tcW w:w="884"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F value</w:t>
            </w:r>
          </w:p>
        </w:tc>
        <w:tc>
          <w:tcPr>
            <w:tcW w:w="1245" w:type="dxa"/>
            <w:tcBorders>
              <w:top w:val="single" w:sz="12" w:space="0" w:color="000000"/>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p</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1.23•10</w:t>
            </w:r>
            <w:r>
              <w:rPr>
                <w:rFonts w:eastAsia="Times New Roman" w:cs="Times New Roman" w:ascii="Times New Roman" w:hAnsi="Times New Roman"/>
                <w:sz w:val="20"/>
                <w:szCs w:val="20"/>
                <w:vertAlign w:val="superscript"/>
              </w:rPr>
              <w:t>-4</w:t>
            </w:r>
          </w:p>
        </w:tc>
        <w:tc>
          <w:tcPr>
            <w:tcW w:w="1036"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1.23•10</w:t>
            </w:r>
            <w:r>
              <w:rPr>
                <w:rFonts w:eastAsia="Times New Roman" w:cs="Times New Roman" w:ascii="Times New Roman" w:hAnsi="Times New Roman"/>
                <w:sz w:val="20"/>
                <w:szCs w:val="20"/>
                <w:vertAlign w:val="superscript"/>
              </w:rPr>
              <w:t>-4</w:t>
            </w:r>
          </w:p>
        </w:tc>
        <w:tc>
          <w:tcPr>
            <w:tcW w:w="88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9.4268</w:t>
            </w:r>
          </w:p>
        </w:tc>
        <w:tc>
          <w:tcPr>
            <w:tcW w:w="124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0.011 *</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9</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1.11•10</w:t>
            </w:r>
            <w:r>
              <w:rPr>
                <w:rFonts w:eastAsia="Times New Roman" w:cs="Times New Roman" w:ascii="Times New Roman" w:hAnsi="Times New Roman"/>
                <w:sz w:val="20"/>
                <w:szCs w:val="20"/>
                <w:vertAlign w:val="superscript"/>
              </w:rPr>
              <w:t>-4</w:t>
            </w:r>
          </w:p>
        </w:tc>
        <w:tc>
          <w:tcPr>
            <w:tcW w:w="1036"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1.24•10</w:t>
            </w:r>
            <w:r>
              <w:rPr>
                <w:rFonts w:eastAsia="Times New Roman" w:cs="Times New Roman" w:ascii="Times New Roman" w:hAnsi="Times New Roman"/>
                <w:sz w:val="20"/>
                <w:szCs w:val="20"/>
                <w:vertAlign w:val="superscript"/>
              </w:rPr>
              <w:t>-5</w:t>
            </w:r>
          </w:p>
        </w:tc>
        <w:tc>
          <w:tcPr>
            <w:tcW w:w="88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24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1.17•10</w:t>
            </w:r>
            <w:r>
              <w:rPr>
                <w:rFonts w:eastAsia="Times New Roman" w:cs="Times New Roman" w:ascii="Times New Roman" w:hAnsi="Times New Roman"/>
                <w:sz w:val="20"/>
                <w:szCs w:val="20"/>
                <w:vertAlign w:val="superscript"/>
              </w:rPr>
              <w:t>-5</w:t>
            </w:r>
          </w:p>
        </w:tc>
        <w:tc>
          <w:tcPr>
            <w:tcW w:w="1036"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1.17•10</w:t>
            </w:r>
            <w:r>
              <w:rPr>
                <w:rFonts w:eastAsia="Times New Roman" w:cs="Times New Roman" w:ascii="Times New Roman" w:hAnsi="Times New Roman"/>
                <w:sz w:val="20"/>
                <w:szCs w:val="20"/>
                <w:vertAlign w:val="superscript"/>
              </w:rPr>
              <w:t>-5</w:t>
            </w:r>
          </w:p>
        </w:tc>
        <w:tc>
          <w:tcPr>
            <w:tcW w:w="88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0.3608</w:t>
            </w:r>
          </w:p>
        </w:tc>
        <w:tc>
          <w:tcPr>
            <w:tcW w:w="124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0.555</w:t>
            </w:r>
          </w:p>
        </w:tc>
      </w:tr>
      <w:tr>
        <w:trPr/>
        <w:tc>
          <w:tcPr>
            <w:tcW w:w="2970" w:type="dxa"/>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Buffer*Lysis time</w:t>
            </w:r>
          </w:p>
        </w:tc>
        <w:tc>
          <w:tcPr>
            <w:tcW w:w="494"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w:t>
            </w:r>
          </w:p>
        </w:tc>
        <w:tc>
          <w:tcPr>
            <w:tcW w:w="990"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1.03•10</w:t>
            </w:r>
            <w:r>
              <w:rPr>
                <w:rFonts w:eastAsia="Times New Roman" w:cs="Times New Roman" w:ascii="Times New Roman" w:hAnsi="Times New Roman"/>
                <w:sz w:val="20"/>
                <w:szCs w:val="20"/>
                <w:vertAlign w:val="superscript"/>
              </w:rPr>
              <w:t>-5</w:t>
            </w:r>
          </w:p>
        </w:tc>
        <w:tc>
          <w:tcPr>
            <w:tcW w:w="1036"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1.03•10</w:t>
            </w:r>
            <w:r>
              <w:rPr>
                <w:rFonts w:eastAsia="Times New Roman" w:cs="Times New Roman" w:ascii="Times New Roman" w:hAnsi="Times New Roman"/>
                <w:sz w:val="20"/>
                <w:szCs w:val="20"/>
                <w:vertAlign w:val="superscript"/>
              </w:rPr>
              <w:t>-5</w:t>
            </w:r>
          </w:p>
        </w:tc>
        <w:tc>
          <w:tcPr>
            <w:tcW w:w="884" w:type="dxa"/>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2.9277</w:t>
            </w:r>
          </w:p>
        </w:tc>
        <w:tc>
          <w:tcPr>
            <w:tcW w:w="1245" w:type="dxa"/>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0.104</w:t>
            </w:r>
          </w:p>
        </w:tc>
      </w:tr>
      <w:tr>
        <w:trPr/>
        <w:tc>
          <w:tcPr>
            <w:tcW w:w="2970" w:type="dxa"/>
            <w:tcBorders>
              <w:bottom w:val="single" w:sz="12" w:space="0" w:color="000000"/>
            </w:tcBorders>
            <w:shd w:fill="auto" w:val="clear"/>
          </w:tcPr>
          <w:p>
            <w:pPr>
              <w:pStyle w:val="LOnormal"/>
              <w:widowControl w:val="false"/>
              <w:spacing w:lineRule="auto" w:line="240"/>
              <w:rPr>
                <w:rFonts w:ascii="Times New Roman" w:hAnsi="Times New Roman" w:eastAsia="Times New Roman" w:cs="Times New Roman"/>
                <w:b/>
                <w:b/>
                <w:sz w:val="20"/>
                <w:szCs w:val="20"/>
              </w:rPr>
            </w:pPr>
            <w:r>
              <w:rPr>
                <w:rFonts w:eastAsia="Times New Roman" w:cs="Times New Roman" w:ascii="Times New Roman" w:hAnsi="Times New Roman"/>
                <w:b/>
                <w:sz w:val="20"/>
                <w:szCs w:val="20"/>
              </w:rPr>
              <w:t>Error</w:t>
            </w:r>
          </w:p>
        </w:tc>
        <w:tc>
          <w:tcPr>
            <w:tcW w:w="494"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18</w:t>
            </w:r>
          </w:p>
        </w:tc>
        <w:tc>
          <w:tcPr>
            <w:tcW w:w="990"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6.14•10</w:t>
            </w:r>
            <w:r>
              <w:rPr>
                <w:rFonts w:eastAsia="Times New Roman" w:cs="Times New Roman" w:ascii="Times New Roman" w:hAnsi="Times New Roman"/>
                <w:sz w:val="20"/>
                <w:szCs w:val="20"/>
                <w:vertAlign w:val="superscript"/>
              </w:rPr>
              <w:t>-5</w:t>
            </w:r>
          </w:p>
        </w:tc>
        <w:tc>
          <w:tcPr>
            <w:tcW w:w="1036"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t>3.41•10</w:t>
            </w:r>
            <w:r>
              <w:rPr>
                <w:rFonts w:eastAsia="Times New Roman" w:cs="Times New Roman" w:ascii="Times New Roman" w:hAnsi="Times New Roman"/>
                <w:sz w:val="20"/>
                <w:szCs w:val="20"/>
                <w:vertAlign w:val="superscript"/>
              </w:rPr>
              <w:t>-5</w:t>
            </w:r>
          </w:p>
        </w:tc>
        <w:tc>
          <w:tcPr>
            <w:tcW w:w="884" w:type="dxa"/>
            <w:tcBorders>
              <w:bottom w:val="single" w:sz="12" w:space="0" w:color="000000"/>
            </w:tcBorders>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c>
          <w:tcPr>
            <w:tcW w:w="1245" w:type="dxa"/>
            <w:tcBorders>
              <w:bottom w:val="single" w:sz="12" w:space="0" w:color="000000"/>
            </w:tcBorders>
            <w:shd w:fill="auto" w:val="clear"/>
            <w:vAlign w:val="bottom"/>
          </w:tcPr>
          <w:p>
            <w:pPr>
              <w:pStyle w:val="LOnormal"/>
              <w:widowControl w:val="false"/>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tc>
      </w:tr>
    </w:tbl>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jc w:val="both"/>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r>
        <w:br w:type="page"/>
      </w:r>
    </w:p>
    <w:p>
      <w:pPr>
        <w:pStyle w:val="LOnormal"/>
        <w:spacing w:lineRule="auto" w:line="360"/>
        <w:jc w:val="both"/>
        <w:rPr>
          <w:rFonts w:ascii="Times New Roman" w:hAnsi="Times New Roman" w:eastAsia="Times New Roman" w:cs="Times New Roman"/>
          <w:b/>
          <w:b/>
          <w:sz w:val="28"/>
          <w:szCs w:val="28"/>
        </w:rPr>
      </w:pPr>
      <w:r>
        <w:rPr>
          <w:rFonts w:eastAsia="Times New Roman" w:cs="Times New Roman" w:ascii="Times New Roman" w:hAnsi="Times New Roman"/>
          <w:b/>
          <w:sz w:val="28"/>
          <w:szCs w:val="28"/>
        </w:rPr>
        <w:t>Figures</w:t>
      </w:r>
    </w:p>
    <w:p>
      <w:pPr>
        <w:pStyle w:val="LOnormal"/>
        <w:pageBreakBefore w:val="false"/>
        <w:spacing w:lineRule="auto" w:line="360"/>
        <w:jc w:val="both"/>
        <w:rPr>
          <w:rFonts w:ascii="Times New Roman" w:hAnsi="Times New Roman" w:eastAsia="Times New Roman" w:cs="Times New Roman"/>
          <w:b/>
          <w:b/>
          <w:sz w:val="28"/>
          <w:szCs w:val="28"/>
        </w:rPr>
      </w:pPr>
      <w:r>
        <w:rPr>
          <w:rFonts w:eastAsia="Times New Roman" w:cs="Times New Roman" w:ascii="Times New Roman" w:hAnsi="Times New Roman"/>
          <w:b/>
          <w:sz w:val="28"/>
          <w:szCs w:val="28"/>
        </w:rPr>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b/>
        </w:rPr>
        <w:t xml:space="preserve">Figure S1. Number of species recovered with COI and 16S with the different extraction methods. </w:t>
      </w:r>
      <w:r>
        <w:rPr>
          <w:rFonts w:eastAsia="Times New Roman" w:cs="Times New Roman" w:ascii="Times New Roman" w:hAnsi="Times New Roman"/>
        </w:rPr>
        <w:t>For 16S (blue) no differences were found between the treatments. For COI (orange), B2–P1 recovered the most species and B1–P2 the least, but the difference between both was of 1. Only Buffer and Purification combinations are shown, as they were the only factors with significant effect for COI.</w:t>
      </w:r>
    </w:p>
    <w:p>
      <w:pPr>
        <w:pStyle w:val="LOnormal"/>
        <w:spacing w:lineRule="auto" w:line="360"/>
        <w:jc w:val="center"/>
        <w:rPr>
          <w:rFonts w:ascii="Times New Roman" w:hAnsi="Times New Roman" w:eastAsia="Times New Roman" w:cs="Times New Roman"/>
        </w:rPr>
      </w:pPr>
      <w:r>
        <w:rPr/>
        <w:drawing>
          <wp:inline distT="0" distB="0" distL="0" distR="0">
            <wp:extent cx="4064000" cy="31369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4064000" cy="3136900"/>
                    </a:xfrm>
                    <a:prstGeom prst="rect">
                      <a:avLst/>
                    </a:prstGeom>
                  </pic:spPr>
                </pic:pic>
              </a:graphicData>
            </a:graphic>
          </wp:inline>
        </w:drawing>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b/>
        </w:rPr>
        <w:t>Figure S2. NDMS plot of the Bray-Curtis dissimilarities among the insect community composition recovered with 16S and COI metabarcoding and the actual community composition based on of biomass or number of individuals.</w:t>
      </w:r>
      <w:r>
        <w:rPr>
          <w:rFonts w:eastAsia="Times New Roman" w:cs="Times New Roman" w:ascii="Times New Roman" w:hAnsi="Times New Roman"/>
        </w:rPr>
        <w:t xml:space="preserve"> The mock communities cluster together when measured in biomass (triangles) and number of individuals (crosses), while metabarcoding estimates of the composition of those communities clustered together regardless of the marker (16S, circles; COI, squares), separated from the actual communities. However, note that the mock communities were quite similar to each other in composition, making it challenging to distinguish them by metabarcoding. Stress = 0.189.</w:t>
      </w:r>
    </w:p>
    <w:p>
      <w:pPr>
        <w:pStyle w:val="LOnormal"/>
        <w:pageBreakBefore w:val="false"/>
        <w:spacing w:lineRule="auto" w:line="360"/>
        <w:jc w:val="center"/>
        <w:rPr>
          <w:rFonts w:ascii="Times New Roman" w:hAnsi="Times New Roman" w:eastAsia="Times New Roman" w:cs="Times New Roman"/>
        </w:rPr>
      </w:pPr>
      <w:r>
        <w:rPr/>
        <w:drawing>
          <wp:inline distT="0" distB="0" distL="0" distR="0">
            <wp:extent cx="4152900" cy="42799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4152900" cy="4279900"/>
                    </a:xfrm>
                    <a:prstGeom prst="rect">
                      <a:avLst/>
                    </a:prstGeom>
                  </pic:spPr>
                </pic:pic>
              </a:graphicData>
            </a:graphic>
          </wp:inline>
        </w:drawing>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b/>
        </w:rPr>
        <w:t>Figure S3. Composition of the samples as proportion of reads from the different communities in the COI dataset.</w:t>
      </w:r>
      <w:r>
        <w:rPr>
          <w:rFonts w:eastAsia="Times New Roman" w:cs="Times New Roman" w:ascii="Times New Roman" w:hAnsi="Times New Roman"/>
        </w:rPr>
        <w:t xml:space="preserve"> The first two columns of each community represent the actual composition based on biomass and number of individuals. The number of species recovered per sample appears on the top of each bar.</w:t>
      </w:r>
    </w:p>
    <w:p>
      <w:pPr>
        <w:pStyle w:val="LOnormal"/>
        <w:spacing w:lineRule="auto" w:line="360"/>
        <w:jc w:val="center"/>
        <w:rPr>
          <w:rFonts w:ascii="Times New Roman" w:hAnsi="Times New Roman" w:eastAsia="Times New Roman" w:cs="Times New Roman"/>
        </w:rPr>
      </w:pPr>
      <w:r>
        <w:rPr/>
        <w:drawing>
          <wp:inline distT="0" distB="0" distL="0" distR="0">
            <wp:extent cx="5321300" cy="53975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4"/>
                    <a:stretch>
                      <a:fillRect/>
                    </a:stretch>
                  </pic:blipFill>
                  <pic:spPr bwMode="auto">
                    <a:xfrm>
                      <a:off x="0" y="0"/>
                      <a:ext cx="5321300" cy="5397500"/>
                    </a:xfrm>
                    <a:prstGeom prst="rect">
                      <a:avLst/>
                    </a:prstGeom>
                  </pic:spPr>
                </pic:pic>
              </a:graphicData>
            </a:graphic>
          </wp:inline>
        </w:drawing>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pageBreakBefore w:val="false"/>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360"/>
        <w:jc w:val="both"/>
        <w:rPr>
          <w:rFonts w:ascii="Times New Roman" w:hAnsi="Times New Roman" w:eastAsia="Times New Roman" w:cs="Times New Roman"/>
        </w:rPr>
      </w:pPr>
      <w:r>
        <w:rPr>
          <w:rFonts w:eastAsia="Times New Roman" w:cs="Times New Roman" w:ascii="Times New Roman" w:hAnsi="Times New Roman"/>
          <w:b/>
        </w:rPr>
        <w:t>Figure S4. Composition of the samples as proportion of reads from the different communities in the 16S dataset.</w:t>
      </w:r>
      <w:r>
        <w:rPr>
          <w:rFonts w:eastAsia="Times New Roman" w:cs="Times New Roman" w:ascii="Times New Roman" w:hAnsi="Times New Roman"/>
        </w:rPr>
        <w:t xml:space="preserve"> The first two columns of each community represent the actual composition based on biomass and number of individuals. The number of species recovered per sample appears on the top of each bar.</w:t>
      </w:r>
    </w:p>
    <w:p>
      <w:pPr>
        <w:pStyle w:val="LOnormal"/>
        <w:spacing w:lineRule="auto" w:line="360"/>
        <w:jc w:val="center"/>
        <w:rPr>
          <w:rFonts w:ascii="Times New Roman" w:hAnsi="Times New Roman" w:eastAsia="Times New Roman" w:cs="Times New Roman"/>
        </w:rPr>
      </w:pPr>
      <w:r>
        <w:rPr/>
        <w:drawing>
          <wp:inline distT="0" distB="0" distL="0" distR="0">
            <wp:extent cx="5321300" cy="53975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pic:cNvPicPr>
                      <a:picLocks noChangeAspect="1" noChangeArrowheads="1"/>
                    </pic:cNvPicPr>
                  </pic:nvPicPr>
                  <pic:blipFill>
                    <a:blip r:embed="rId5"/>
                    <a:stretch>
                      <a:fillRect/>
                    </a:stretch>
                  </pic:blipFill>
                  <pic:spPr bwMode="auto">
                    <a:xfrm>
                      <a:off x="0" y="0"/>
                      <a:ext cx="5321300" cy="5397500"/>
                    </a:xfrm>
                    <a:prstGeom prst="rect">
                      <a:avLst/>
                    </a:prstGeom>
                  </pic:spPr>
                </pic:pic>
              </a:graphicData>
            </a:graphic>
          </wp:inline>
        </w:drawing>
      </w:r>
    </w:p>
    <w:sectPr>
      <w:headerReference w:type="default" r:id="rId6"/>
      <w:type w:val="nextPage"/>
      <w:pgSz w:w="11909" w:h="16834"/>
      <w:pgMar w:left="1440" w:right="1440" w:header="72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 w:name="Times">
    <w:altName w:val="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rPr>
        <w:rFonts w:ascii="Times" w:hAnsi="Times" w:cs="Times New Roman"/>
        <w:sz w:val="18"/>
        <w:szCs w:val="20"/>
        <w:lang w:val="en-US"/>
      </w:rPr>
    </w:pPr>
    <w:r>
      <w:rPr>
        <w:rFonts w:cs="Times New Roman" w:ascii="Times New Roman" w:hAnsi="Times New Roman"/>
        <w:bCs/>
        <w:color w:val="000000"/>
        <w:sz w:val="20"/>
        <w:lang w:val="en-US"/>
      </w:rPr>
      <w:t>Evaluation of non-destructive DNA extraction protocols for insect metabarcoding: gentler and shorter is better</w:t>
    </w:r>
  </w:p>
  <w:p>
    <w:pPr>
      <w:pStyle w:val="Normal"/>
      <w:spacing w:lineRule="auto" w:line="240"/>
      <w:rPr>
        <w:rFonts w:ascii="Times" w:hAnsi="Times" w:eastAsia="Times New Roman" w:cs="Times New Roman"/>
        <w:sz w:val="18"/>
        <w:szCs w:val="20"/>
        <w:lang w:val="en-US"/>
      </w:rPr>
    </w:pPr>
    <w:r>
      <w:rPr>
        <w:rFonts w:eastAsia="Times New Roman" w:cs="Times New Roman" w:ascii="Times New Roman" w:hAnsi="Times New Roman"/>
        <w:color w:val="000000"/>
        <w:sz w:val="20"/>
        <w:lang w:val="en-US"/>
      </w:rPr>
      <w:t>Marquina, Roslin, Łukasik, &amp; Ronquist</w:t>
    </w:r>
  </w:p>
</w:hdr>
</file>

<file path=word/settings.xml><?xml version="1.0" encoding="utf-8"?>
<w:settings xmlns:w="http://schemas.openxmlformats.org/wordprocessingml/2006/main">
  <w:zoom w:percent="75"/>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Header">
    <w:name w:val="Header"/>
    <w:basedOn w:val="HeaderandFooter"/>
    <w:pPr>
      <w:suppressLineNumbers/>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2</TotalTime>
  <Application>LibreOffice/7.1.8.1$MacOSX_X86_64 LibreOffice_project/e1f30c802c3269a1d052614453f260e49458c82c</Application>
  <AppVersion>15.0000</AppVersion>
  <Pages>15</Pages>
  <Words>1797</Words>
  <Characters>9864</Characters>
  <CharactersWithSpaces>10818</CharactersWithSpaces>
  <Paragraphs>865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Daniel Marquina</cp:lastModifiedBy>
  <dcterms:modified xsi:type="dcterms:W3CDTF">2022-05-31T09:40:41Z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