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ind w:left="360" w:hanging="360"/>
      </w:pPr>
      <w:r>
        <w:rPr>
          <w:b w:val="1"/>
          <w:bCs w:val="1"/>
          <w:rtl w:val="0"/>
          <w:lang w:val="fr-FR"/>
        </w:rPr>
        <w:t xml:space="preserve">Table </w:t>
      </w:r>
      <w:r>
        <w:rPr>
          <w:b w:val="1"/>
          <w:bCs w:val="1"/>
          <w:rtl w:val="0"/>
          <w:lang w:val="en-US"/>
        </w:rPr>
        <w:t>S</w:t>
      </w:r>
      <w:r>
        <w:rPr>
          <w:b w:val="1"/>
          <w:bCs w:val="1"/>
          <w:rtl w:val="0"/>
        </w:rPr>
        <w:t>1</w:t>
      </w:r>
      <w:r>
        <w:rPr>
          <w:rtl w:val="0"/>
        </w:rPr>
        <w:t xml:space="preserve">. </w:t>
      </w:r>
      <w:r>
        <w:rPr>
          <w:rtl w:val="0"/>
          <w:lang w:val="en-US"/>
        </w:rPr>
        <w:t>Unscaled m</w:t>
      </w:r>
      <w:r>
        <w:rPr>
          <w:rtl w:val="0"/>
          <w:lang w:val="en-US"/>
        </w:rPr>
        <w:t xml:space="preserve">ean </w:t>
      </w:r>
      <w:r>
        <w:rPr>
          <w:rtl w:val="1"/>
        </w:rPr>
        <w:t xml:space="preserve">± </w:t>
      </w:r>
      <w:r>
        <w:rPr>
          <w:rtl w:val="0"/>
          <w:lang w:val="en-US"/>
        </w:rPr>
        <w:t>standard error (SE) estimates of maximum feeding rate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Functional Response Ratio (FRR) scores, recorded for both invasive-native species pairs.</w:t>
      </w:r>
    </w:p>
    <w:p>
      <w:pPr>
        <w:pStyle w:val="Body"/>
        <w:bidi w:val="0"/>
      </w:pPr>
    </w:p>
    <w:tbl>
      <w:tblPr>
        <w:tblW w:w="9353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338"/>
        <w:gridCol w:w="2338"/>
        <w:gridCol w:w="2338"/>
        <w:gridCol w:w="2339"/>
      </w:tblGrid>
      <w:tr>
        <w:tblPrEx>
          <w:shd w:val="clear" w:color="auto" w:fill="auto"/>
        </w:tblPrEx>
        <w:trPr>
          <w:trHeight w:val="839" w:hRule="atLeast"/>
        </w:trPr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u w:color="000000"/>
                <w:rtl w:val="0"/>
              </w:rPr>
              <w:t>System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u w:color="000000"/>
                <w:rtl w:val="0"/>
              </w:rPr>
              <w:t>Species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 xml:space="preserve">Maximum feeding rate </w:t>
            </w:r>
            <w:r>
              <w:rPr>
                <w:b w:val="1"/>
                <w:bCs w:val="1"/>
                <w:i w:val="1"/>
                <w:iCs w:val="1"/>
                <w:sz w:val="24"/>
                <w:szCs w:val="24"/>
                <w:u w:color="000000"/>
                <w:rtl w:val="0"/>
              </w:rPr>
              <w:t xml:space="preserve">(1/h) </w:t>
            </w:r>
            <w:r>
              <w:rPr>
                <w:b w:val="1"/>
                <w:bCs w:val="1"/>
                <w:sz w:val="24"/>
                <w:szCs w:val="24"/>
                <w:u w:color="000000"/>
                <w:rtl w:val="0"/>
              </w:rPr>
              <w:t>(</w:t>
            </w:r>
            <w:r>
              <w:rPr>
                <w:b w:val="1"/>
                <w:bCs w:val="1"/>
                <w:sz w:val="24"/>
                <w:szCs w:val="24"/>
                <w:u w:color="000000"/>
                <w:rtl w:val="1"/>
              </w:rPr>
              <w:t xml:space="preserve">± </w:t>
            </w:r>
            <w:r>
              <w:rPr>
                <w:b w:val="1"/>
                <w:bCs w:val="1"/>
                <w:sz w:val="24"/>
                <w:szCs w:val="24"/>
                <w:u w:color="000000"/>
                <w:rtl w:val="0"/>
                <w:lang w:val="pt-PT"/>
              </w:rPr>
              <w:t>SE)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0"/>
                <w:bCs w:val="0"/>
                <w:sz w:val="24"/>
                <w:szCs w:val="24"/>
                <w:u w:color="000000"/>
                <w:rtl w:val="0"/>
              </w:rPr>
            </w:pPr>
            <w:r>
              <w:rPr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FRR (</w:t>
            </w:r>
            <w:r>
              <w:rPr>
                <w:b w:val="1"/>
                <w:bCs w:val="1"/>
                <w:i w:val="1"/>
                <w:iCs w:val="1"/>
                <w:sz w:val="24"/>
                <w:szCs w:val="24"/>
                <w:u w:color="000000"/>
                <w:rtl w:val="0"/>
              </w:rPr>
              <w:t>a/h</w:t>
            </w:r>
            <w:r>
              <w:rPr>
                <w:b w:val="1"/>
                <w:bCs w:val="1"/>
                <w:sz w:val="24"/>
                <w:szCs w:val="24"/>
                <w:u w:color="000000"/>
                <w:rtl w:val="0"/>
              </w:rPr>
              <w:t xml:space="preserve">) </w:t>
            </w:r>
          </w:p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4"/>
                <w:szCs w:val="24"/>
                <w:u w:color="000000"/>
                <w:rtl w:val="0"/>
              </w:rPr>
              <w:t>(</w:t>
            </w:r>
            <w:r>
              <w:rPr>
                <w:b w:val="1"/>
                <w:bCs w:val="1"/>
                <w:sz w:val="24"/>
                <w:szCs w:val="24"/>
                <w:u w:color="000000"/>
                <w:rtl w:val="1"/>
              </w:rPr>
              <w:t xml:space="preserve">± </w:t>
            </w:r>
            <w:r>
              <w:rPr>
                <w:b w:val="1"/>
                <w:bCs w:val="1"/>
                <w:sz w:val="24"/>
                <w:szCs w:val="24"/>
                <w:u w:color="000000"/>
                <w:rtl w:val="0"/>
                <w:lang w:val="pt-PT"/>
              </w:rPr>
              <w:t>SE)</w:t>
            </w:r>
          </w:p>
        </w:tc>
      </w:tr>
      <w:tr>
        <w:tblPrEx>
          <w:shd w:val="clear" w:color="auto" w:fill="auto"/>
        </w:tblPrEx>
        <w:trPr>
          <w:trHeight w:val="559" w:hRule="atLeast"/>
        </w:trPr>
        <w:tc>
          <w:tcPr>
            <w:tcW w:type="dxa" w:w="2338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Marine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Green crab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14.62 (0.25)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sz w:val="24"/>
                <w:szCs w:val="24"/>
                <w:u w:color="000000"/>
                <w:rtl w:val="0"/>
              </w:rPr>
            </w:pPr>
            <w:r>
              <w:rPr>
                <w:sz w:val="24"/>
                <w:szCs w:val="24"/>
                <w:u w:color="000000"/>
                <w:rtl w:val="0"/>
              </w:rPr>
              <w:t xml:space="preserve"> </w:t>
            </w:r>
          </w:p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u w:color="000000"/>
                <w:rtl w:val="0"/>
                <w:lang w:val="en-US"/>
              </w:rPr>
              <w:t xml:space="preserve">51.18 </w:t>
            </w:r>
            <w:r>
              <w:rPr>
                <w:sz w:val="24"/>
                <w:szCs w:val="24"/>
                <w:u w:color="000000"/>
                <w:rtl w:val="0"/>
              </w:rPr>
              <w:t>(</w:t>
            </w:r>
            <w:r>
              <w:rPr>
                <w:sz w:val="24"/>
                <w:szCs w:val="24"/>
                <w:u w:color="000000"/>
                <w:rtl w:val="0"/>
                <w:lang w:val="en-US"/>
              </w:rPr>
              <w:t>1.63</w:t>
            </w:r>
            <w:r>
              <w:rPr>
                <w:sz w:val="24"/>
                <w:szCs w:val="24"/>
                <w:u w:color="000000"/>
                <w:rtl w:val="0"/>
              </w:rPr>
              <w:t>)</w:t>
            </w:r>
          </w:p>
        </w:tc>
      </w:tr>
      <w:tr>
        <w:tblPrEx>
          <w:shd w:val="clear" w:color="auto" w:fill="auto"/>
        </w:tblPrEx>
        <w:trPr>
          <w:trHeight w:val="579" w:hRule="atLeast"/>
        </w:trPr>
        <w:tc>
          <w:tcPr>
            <w:tcW w:type="dxa" w:w="233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Rock crab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59.58 (11.88)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sz w:val="24"/>
                <w:szCs w:val="24"/>
                <w:u w:color="000000"/>
                <w:rtl w:val="0"/>
              </w:rPr>
            </w:pPr>
          </w:p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u w:color="000000"/>
                <w:rtl w:val="0"/>
                <w:lang w:val="en-US"/>
              </w:rPr>
              <w:t xml:space="preserve">122.53 </w:t>
            </w:r>
            <w:r>
              <w:rPr>
                <w:sz w:val="24"/>
                <w:szCs w:val="24"/>
                <w:u w:color="000000"/>
                <w:rtl w:val="0"/>
              </w:rPr>
              <w:t>(</w:t>
            </w:r>
            <w:r>
              <w:rPr>
                <w:sz w:val="24"/>
                <w:szCs w:val="24"/>
                <w:u w:color="000000"/>
                <w:rtl w:val="0"/>
                <w:lang w:val="en-US"/>
              </w:rPr>
              <w:t>11.84</w:t>
            </w:r>
            <w:r>
              <w:rPr>
                <w:sz w:val="24"/>
                <w:szCs w:val="24"/>
                <w:u w:color="000000"/>
                <w:rtl w:val="0"/>
              </w:rPr>
              <w:t>)</w:t>
            </w:r>
          </w:p>
        </w:tc>
      </w:tr>
      <w:tr>
        <w:tblPrEx>
          <w:shd w:val="clear" w:color="auto" w:fill="auto"/>
        </w:tblPrEx>
        <w:trPr>
          <w:trHeight w:val="579" w:hRule="atLeast"/>
        </w:trPr>
        <w:tc>
          <w:tcPr>
            <w:tcW w:type="dxa" w:w="2338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Freshwater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Brown trout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 xml:space="preserve"> 15.15 (0.22)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sz w:val="24"/>
                <w:szCs w:val="24"/>
                <w:u w:color="000000"/>
                <w:rtl w:val="0"/>
              </w:rPr>
            </w:pPr>
          </w:p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u w:color="000000"/>
                <w:rtl w:val="0"/>
                <w:lang w:val="en-US"/>
              </w:rPr>
              <w:t xml:space="preserve">35.00 </w:t>
            </w:r>
            <w:r>
              <w:rPr>
                <w:sz w:val="24"/>
                <w:szCs w:val="24"/>
                <w:u w:color="000000"/>
                <w:rtl w:val="0"/>
              </w:rPr>
              <w:t>(</w:t>
            </w:r>
            <w:r>
              <w:rPr>
                <w:sz w:val="24"/>
                <w:szCs w:val="24"/>
                <w:u w:color="000000"/>
                <w:rtl w:val="0"/>
                <w:lang w:val="en-US"/>
              </w:rPr>
              <w:t>1.25</w:t>
            </w:r>
            <w:r>
              <w:rPr>
                <w:sz w:val="24"/>
                <w:szCs w:val="24"/>
                <w:u w:color="000000"/>
                <w:rtl w:val="0"/>
              </w:rPr>
              <w:t>)</w:t>
            </w:r>
          </w:p>
        </w:tc>
      </w:tr>
      <w:tr>
        <w:tblPrEx>
          <w:shd w:val="clear" w:color="auto" w:fill="auto"/>
        </w:tblPrEx>
        <w:trPr>
          <w:trHeight w:val="420" w:hRule="atLeast"/>
        </w:trPr>
        <w:tc>
          <w:tcPr>
            <w:tcW w:type="dxa" w:w="233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</w:tcPr>
          <w:p/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Atlantic salmon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7.01 (0.56)</w:t>
            </w:r>
          </w:p>
        </w:tc>
        <w:tc>
          <w:tcPr>
            <w:tcW w:type="dxa" w:w="23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100"/>
              <w:bottom w:type="dxa" w:w="0"/>
              <w:right w:type="dxa" w:w="100"/>
            </w:tcMar>
            <w:vAlign w:val="center"/>
          </w:tcPr>
          <w:p>
            <w:pPr>
              <w:pStyle w:val="Table Style 2"/>
              <w:tabs>
                <w:tab w:val="left" w:pos="1440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sz w:val="24"/>
                <w:szCs w:val="24"/>
                <w:u w:color="000000"/>
                <w:rtl w:val="0"/>
              </w:rPr>
              <w:t>0.12 (0.09)</w:t>
            </w:r>
          </w:p>
        </w:tc>
      </w:tr>
    </w:tbl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4"/>
          <w:szCs w:val="24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tl w:val="0"/>
        </w:rPr>
      </w:pPr>
      <w:r>
        <w:rPr>
          <w:rFonts w:ascii="Times New Roman" w:cs="Times New Roman" w:hAnsi="Times New Roman" w:eastAsia="Times New Roman"/>
          <w:sz w:val="24"/>
          <w:szCs w:val="24"/>
          <w:u w:color="000000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3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