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F53315" w14:textId="77777777" w:rsidR="001D774F" w:rsidRDefault="001D774F" w:rsidP="001D774F">
      <w:pPr>
        <w:spacing w:line="48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 3.</w:t>
      </w:r>
      <w:r>
        <w:rPr>
          <w:rFonts w:ascii="Times New Roman" w:eastAsia="Times New Roman" w:hAnsi="Times New Roman" w:cs="Times New Roman"/>
          <w:sz w:val="20"/>
          <w:szCs w:val="20"/>
        </w:rPr>
        <w:t xml:space="preserve"> Socio-economic variables at the country level </w:t>
      </w:r>
    </w:p>
    <w:tbl>
      <w:tblPr>
        <w:tblW w:w="0" w:type="auto"/>
        <w:tblLook w:val="0400" w:firstRow="0" w:lastRow="0" w:firstColumn="0" w:lastColumn="0" w:noHBand="0" w:noVBand="1"/>
      </w:tblPr>
      <w:tblGrid>
        <w:gridCol w:w="1244"/>
        <w:gridCol w:w="985"/>
        <w:gridCol w:w="4019"/>
        <w:gridCol w:w="953"/>
        <w:gridCol w:w="1871"/>
      </w:tblGrid>
      <w:tr w:rsidR="001D774F" w14:paraId="3D210A5F" w14:textId="77777777" w:rsidTr="00B82E2E">
        <w:tc>
          <w:tcPr>
            <w:tcW w:w="0" w:type="auto"/>
            <w:tcBorders>
              <w:top w:val="single" w:sz="4" w:space="0" w:color="000000"/>
              <w:bottom w:val="single" w:sz="4" w:space="0" w:color="000000"/>
            </w:tcBorders>
            <w:shd w:val="clear" w:color="auto" w:fill="FFF2CC"/>
          </w:tcPr>
          <w:p w14:paraId="12B56A39" w14:textId="77777777" w:rsidR="001D774F" w:rsidRDefault="001D774F" w:rsidP="00B82E2E">
            <w:pPr>
              <w:spacing w:line="240" w:lineRule="auto"/>
              <w:jc w:val="both"/>
              <w:rPr>
                <w:rFonts w:ascii="Times New Roman" w:eastAsia="Times New Roman" w:hAnsi="Times New Roman" w:cs="Times New Roman"/>
                <w:b/>
                <w:sz w:val="16"/>
                <w:szCs w:val="16"/>
              </w:rPr>
            </w:pPr>
            <w:r>
              <w:rPr>
                <w:rFonts w:ascii="Times New Roman" w:eastAsia="Times New Roman" w:hAnsi="Times New Roman" w:cs="Times New Roman"/>
                <w:b/>
                <w:sz w:val="16"/>
                <w:szCs w:val="16"/>
              </w:rPr>
              <w:t>Factor</w:t>
            </w:r>
          </w:p>
        </w:tc>
        <w:tc>
          <w:tcPr>
            <w:tcW w:w="0" w:type="auto"/>
            <w:tcBorders>
              <w:top w:val="single" w:sz="4" w:space="0" w:color="000000"/>
              <w:bottom w:val="single" w:sz="4" w:space="0" w:color="000000"/>
            </w:tcBorders>
            <w:shd w:val="clear" w:color="auto" w:fill="FFF2CC"/>
          </w:tcPr>
          <w:p w14:paraId="54B8CC05" w14:textId="77777777" w:rsidR="001D774F" w:rsidRDefault="001D774F" w:rsidP="00B82E2E">
            <w:pPr>
              <w:spacing w:line="240" w:lineRule="auto"/>
              <w:jc w:val="both"/>
              <w:rPr>
                <w:rFonts w:ascii="Times New Roman" w:eastAsia="Times New Roman" w:hAnsi="Times New Roman" w:cs="Times New Roman"/>
                <w:b/>
                <w:sz w:val="16"/>
                <w:szCs w:val="16"/>
              </w:rPr>
            </w:pPr>
            <w:r>
              <w:rPr>
                <w:rFonts w:ascii="Times New Roman" w:eastAsia="Times New Roman" w:hAnsi="Times New Roman" w:cs="Times New Roman"/>
                <w:b/>
                <w:sz w:val="16"/>
                <w:szCs w:val="16"/>
              </w:rPr>
              <w:t>Unit</w:t>
            </w:r>
          </w:p>
        </w:tc>
        <w:tc>
          <w:tcPr>
            <w:tcW w:w="0" w:type="auto"/>
            <w:tcBorders>
              <w:top w:val="single" w:sz="4" w:space="0" w:color="000000"/>
              <w:bottom w:val="single" w:sz="4" w:space="0" w:color="000000"/>
            </w:tcBorders>
            <w:shd w:val="clear" w:color="auto" w:fill="FFF2CC"/>
          </w:tcPr>
          <w:p w14:paraId="5077C850" w14:textId="77777777" w:rsidR="001D774F" w:rsidRDefault="001D774F" w:rsidP="00B82E2E">
            <w:pPr>
              <w:spacing w:line="240" w:lineRule="auto"/>
              <w:ind w:right="1625"/>
              <w:jc w:val="both"/>
              <w:rPr>
                <w:rFonts w:ascii="Times New Roman" w:eastAsia="Times New Roman" w:hAnsi="Times New Roman" w:cs="Times New Roman"/>
                <w:b/>
                <w:sz w:val="16"/>
                <w:szCs w:val="16"/>
              </w:rPr>
            </w:pPr>
            <w:r>
              <w:rPr>
                <w:rFonts w:ascii="Times New Roman" w:eastAsia="Times New Roman" w:hAnsi="Times New Roman" w:cs="Times New Roman"/>
                <w:b/>
                <w:sz w:val="16"/>
                <w:szCs w:val="16"/>
              </w:rPr>
              <w:t>Description</w:t>
            </w:r>
          </w:p>
        </w:tc>
        <w:tc>
          <w:tcPr>
            <w:tcW w:w="0" w:type="auto"/>
            <w:tcBorders>
              <w:top w:val="single" w:sz="4" w:space="0" w:color="000000"/>
              <w:bottom w:val="single" w:sz="4" w:space="0" w:color="000000"/>
            </w:tcBorders>
            <w:shd w:val="clear" w:color="auto" w:fill="FFF2CC"/>
          </w:tcPr>
          <w:p w14:paraId="1E4C7F81" w14:textId="77777777" w:rsidR="001D774F" w:rsidRDefault="001D774F" w:rsidP="00B82E2E">
            <w:pPr>
              <w:spacing w:line="240" w:lineRule="auto"/>
              <w:jc w:val="both"/>
              <w:rPr>
                <w:rFonts w:ascii="Times New Roman" w:eastAsia="Times New Roman" w:hAnsi="Times New Roman" w:cs="Times New Roman"/>
                <w:b/>
                <w:sz w:val="16"/>
                <w:szCs w:val="16"/>
              </w:rPr>
            </w:pPr>
            <w:r>
              <w:rPr>
                <w:rFonts w:ascii="Times New Roman" w:eastAsia="Times New Roman" w:hAnsi="Times New Roman" w:cs="Times New Roman"/>
                <w:b/>
                <w:sz w:val="16"/>
                <w:szCs w:val="16"/>
              </w:rPr>
              <w:t>Source</w:t>
            </w:r>
          </w:p>
        </w:tc>
        <w:tc>
          <w:tcPr>
            <w:tcW w:w="0" w:type="auto"/>
            <w:tcBorders>
              <w:top w:val="single" w:sz="4" w:space="0" w:color="000000"/>
              <w:bottom w:val="single" w:sz="4" w:space="0" w:color="000000"/>
            </w:tcBorders>
            <w:shd w:val="clear" w:color="auto" w:fill="FFF2CC"/>
          </w:tcPr>
          <w:p w14:paraId="77C4348D" w14:textId="77777777" w:rsidR="001D774F" w:rsidRDefault="001D774F" w:rsidP="00B82E2E">
            <w:pPr>
              <w:spacing w:line="240" w:lineRule="auto"/>
              <w:jc w:val="both"/>
              <w:rPr>
                <w:rFonts w:ascii="Times New Roman" w:eastAsia="Times New Roman" w:hAnsi="Times New Roman" w:cs="Times New Roman"/>
                <w:b/>
                <w:sz w:val="16"/>
                <w:szCs w:val="16"/>
              </w:rPr>
            </w:pPr>
            <w:r>
              <w:rPr>
                <w:rFonts w:ascii="Times New Roman" w:eastAsia="Times New Roman" w:hAnsi="Times New Roman" w:cs="Times New Roman"/>
                <w:b/>
                <w:sz w:val="16"/>
                <w:szCs w:val="16"/>
              </w:rPr>
              <w:t>Hypothesis</w:t>
            </w:r>
          </w:p>
        </w:tc>
      </w:tr>
      <w:tr w:rsidR="001D774F" w14:paraId="29D5ECFE" w14:textId="77777777" w:rsidTr="00B82E2E">
        <w:trPr>
          <w:trHeight w:val="1005"/>
        </w:trPr>
        <w:tc>
          <w:tcPr>
            <w:tcW w:w="0" w:type="auto"/>
            <w:tcBorders>
              <w:top w:val="single" w:sz="4" w:space="0" w:color="000000"/>
            </w:tcBorders>
          </w:tcPr>
          <w:p w14:paraId="3797AFCF"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Human population size</w:t>
            </w:r>
          </w:p>
        </w:tc>
        <w:tc>
          <w:tcPr>
            <w:tcW w:w="0" w:type="auto"/>
            <w:tcBorders>
              <w:top w:val="single" w:sz="4" w:space="0" w:color="000000"/>
            </w:tcBorders>
          </w:tcPr>
          <w:p w14:paraId="5140751C"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Persons in millions</w:t>
            </w:r>
          </w:p>
        </w:tc>
        <w:tc>
          <w:tcPr>
            <w:tcW w:w="0" w:type="auto"/>
            <w:tcBorders>
              <w:top w:val="single" w:sz="4" w:space="0" w:color="000000"/>
            </w:tcBorders>
          </w:tcPr>
          <w:p w14:paraId="30D99601"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Number of persons in 2017</w:t>
            </w:r>
          </w:p>
        </w:tc>
        <w:tc>
          <w:tcPr>
            <w:tcW w:w="0" w:type="auto"/>
            <w:tcBorders>
              <w:top w:val="single" w:sz="4" w:space="0" w:color="000000"/>
            </w:tcBorders>
          </w:tcPr>
          <w:p w14:paraId="265C6E3F"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World Economic Outlook Database</w:t>
            </w:r>
          </w:p>
        </w:tc>
        <w:tc>
          <w:tcPr>
            <w:tcW w:w="0" w:type="auto"/>
            <w:tcBorders>
              <w:top w:val="single" w:sz="4" w:space="0" w:color="000000"/>
            </w:tcBorders>
          </w:tcPr>
          <w:p w14:paraId="42FE1E1C" w14:textId="77777777" w:rsidR="001D774F" w:rsidRDefault="001D774F" w:rsidP="00B82E2E">
            <w:pPr>
              <w:spacing w:before="240" w:after="240" w:line="240" w:lineRule="auto"/>
              <w:jc w:val="both"/>
              <w:rPr>
                <w:rFonts w:ascii="Times New Roman" w:eastAsia="Times New Roman" w:hAnsi="Times New Roman" w:cs="Times New Roman"/>
                <w:color w:val="FF0000"/>
                <w:sz w:val="16"/>
                <w:szCs w:val="16"/>
              </w:rPr>
            </w:pPr>
            <w:r>
              <w:rPr>
                <w:rFonts w:ascii="Times New Roman" w:eastAsia="Times New Roman" w:hAnsi="Times New Roman" w:cs="Times New Roman"/>
                <w:sz w:val="16"/>
                <w:szCs w:val="16"/>
              </w:rPr>
              <w:t xml:space="preserve">Higher human population may result in increased awareness and reporting of the impacts of invasive species and efforts to manage them. </w:t>
            </w:r>
          </w:p>
        </w:tc>
      </w:tr>
      <w:tr w:rsidR="001D774F" w14:paraId="7F7AD030" w14:textId="77777777" w:rsidTr="00B82E2E">
        <w:tc>
          <w:tcPr>
            <w:tcW w:w="0" w:type="auto"/>
          </w:tcPr>
          <w:p w14:paraId="0EF1976E"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Land area</w:t>
            </w:r>
          </w:p>
        </w:tc>
        <w:tc>
          <w:tcPr>
            <w:tcW w:w="0" w:type="auto"/>
          </w:tcPr>
          <w:p w14:paraId="654B118E"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1000 km</w:t>
            </w:r>
            <w:r>
              <w:rPr>
                <w:rFonts w:ascii="Times New Roman" w:eastAsia="Times New Roman" w:hAnsi="Times New Roman" w:cs="Times New Roman"/>
                <w:sz w:val="16"/>
                <w:szCs w:val="16"/>
                <w:vertAlign w:val="superscript"/>
              </w:rPr>
              <w:t>2</w:t>
            </w:r>
          </w:p>
        </w:tc>
        <w:tc>
          <w:tcPr>
            <w:tcW w:w="0" w:type="auto"/>
          </w:tcPr>
          <w:p w14:paraId="0BED5014"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Total area</w:t>
            </w:r>
          </w:p>
        </w:tc>
        <w:tc>
          <w:tcPr>
            <w:tcW w:w="0" w:type="auto"/>
          </w:tcPr>
          <w:p w14:paraId="2A25BA6D"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World bank</w:t>
            </w:r>
          </w:p>
        </w:tc>
        <w:tc>
          <w:tcPr>
            <w:tcW w:w="0" w:type="auto"/>
          </w:tcPr>
          <w:p w14:paraId="046DB30E" w14:textId="77777777" w:rsidR="001D774F" w:rsidRDefault="001D774F" w:rsidP="00B82E2E">
            <w:pPr>
              <w:spacing w:before="240" w:after="24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Larger land areas may result in higher possibilities for IAS  to be introduced, propagate, and lead to  increased reporting of their costs/impacts and efforts to manage them.</w:t>
            </w:r>
          </w:p>
        </w:tc>
      </w:tr>
      <w:tr w:rsidR="001D774F" w14:paraId="7881C1B9" w14:textId="77777777" w:rsidTr="00B82E2E">
        <w:tc>
          <w:tcPr>
            <w:tcW w:w="0" w:type="auto"/>
          </w:tcPr>
          <w:p w14:paraId="2591B2CE"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GDP</w:t>
            </w:r>
          </w:p>
        </w:tc>
        <w:tc>
          <w:tcPr>
            <w:tcW w:w="0" w:type="auto"/>
          </w:tcPr>
          <w:p w14:paraId="61855BEE"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Billion US $</w:t>
            </w:r>
          </w:p>
        </w:tc>
        <w:tc>
          <w:tcPr>
            <w:tcW w:w="0" w:type="auto"/>
          </w:tcPr>
          <w:p w14:paraId="5424A428"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Gross domestic product in 2017</w:t>
            </w:r>
          </w:p>
        </w:tc>
        <w:tc>
          <w:tcPr>
            <w:tcW w:w="0" w:type="auto"/>
          </w:tcPr>
          <w:p w14:paraId="1CBA858C"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World Economic Outlook Database</w:t>
            </w:r>
          </w:p>
        </w:tc>
        <w:tc>
          <w:tcPr>
            <w:tcW w:w="0" w:type="auto"/>
          </w:tcPr>
          <w:p w14:paraId="3AA21EBB" w14:textId="77777777" w:rsidR="001D774F" w:rsidRDefault="001D774F" w:rsidP="00B82E2E">
            <w:pPr>
              <w:spacing w:before="240" w:after="24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Higher GDP may lead to higher economic impacts to different industries/sectors from IAS and higher investments in management and reporting of  damages.</w:t>
            </w:r>
          </w:p>
        </w:tc>
      </w:tr>
      <w:tr w:rsidR="001D774F" w14:paraId="4F3A842C" w14:textId="77777777" w:rsidTr="00B82E2E">
        <w:tc>
          <w:tcPr>
            <w:tcW w:w="0" w:type="auto"/>
          </w:tcPr>
          <w:p w14:paraId="24F1D596"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Number of introduced species</w:t>
            </w:r>
          </w:p>
        </w:tc>
        <w:tc>
          <w:tcPr>
            <w:tcW w:w="0" w:type="auto"/>
          </w:tcPr>
          <w:p w14:paraId="6C9BAD3D"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Number of species</w:t>
            </w:r>
          </w:p>
        </w:tc>
        <w:tc>
          <w:tcPr>
            <w:tcW w:w="0" w:type="auto"/>
          </w:tcPr>
          <w:p w14:paraId="2B51DD85"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Total number of alien species</w:t>
            </w:r>
          </w:p>
        </w:tc>
        <w:tc>
          <w:tcPr>
            <w:tcW w:w="0" w:type="auto"/>
          </w:tcPr>
          <w:p w14:paraId="7EAC0191" w14:textId="77777777" w:rsidR="001D774F" w:rsidRDefault="001D774F" w:rsidP="00B82E2E">
            <w:pPr>
              <w:spacing w:line="240" w:lineRule="auto"/>
              <w:jc w:val="both"/>
              <w:rPr>
                <w:rFonts w:ascii="Times New Roman" w:eastAsia="Times New Roman" w:hAnsi="Times New Roman" w:cs="Times New Roman"/>
                <w:sz w:val="16"/>
                <w:szCs w:val="16"/>
              </w:rPr>
            </w:pPr>
            <w:proofErr w:type="spellStart"/>
            <w:r>
              <w:rPr>
                <w:rFonts w:ascii="Times New Roman" w:eastAsia="Times New Roman" w:hAnsi="Times New Roman" w:cs="Times New Roman"/>
                <w:sz w:val="16"/>
                <w:szCs w:val="16"/>
              </w:rPr>
              <w:t>Pagad</w:t>
            </w:r>
            <w:proofErr w:type="spellEnd"/>
            <w:r>
              <w:rPr>
                <w:rFonts w:ascii="Times New Roman" w:eastAsia="Times New Roman" w:hAnsi="Times New Roman" w:cs="Times New Roman"/>
                <w:sz w:val="16"/>
                <w:szCs w:val="16"/>
              </w:rPr>
              <w:t xml:space="preserve"> et al. 2018</w:t>
            </w:r>
          </w:p>
        </w:tc>
        <w:tc>
          <w:tcPr>
            <w:tcW w:w="0" w:type="auto"/>
          </w:tcPr>
          <w:p w14:paraId="27C5181B"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Higher numbers of introduced species may result in higher numbers of IAS and, in turn, increased reporting of their impacts and efforts to manage them.</w:t>
            </w:r>
          </w:p>
        </w:tc>
      </w:tr>
      <w:tr w:rsidR="001D774F" w14:paraId="405218F1" w14:textId="77777777" w:rsidTr="00B82E2E">
        <w:tc>
          <w:tcPr>
            <w:tcW w:w="0" w:type="auto"/>
          </w:tcPr>
          <w:p w14:paraId="12ED66F3"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Number of invasive alien species </w:t>
            </w:r>
          </w:p>
        </w:tc>
        <w:tc>
          <w:tcPr>
            <w:tcW w:w="0" w:type="auto"/>
          </w:tcPr>
          <w:p w14:paraId="38933F63"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Number of species</w:t>
            </w:r>
          </w:p>
        </w:tc>
        <w:tc>
          <w:tcPr>
            <w:tcW w:w="0" w:type="auto"/>
          </w:tcPr>
          <w:p w14:paraId="03F37AE8"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Total number of invasive species </w:t>
            </w:r>
          </w:p>
        </w:tc>
        <w:tc>
          <w:tcPr>
            <w:tcW w:w="0" w:type="auto"/>
          </w:tcPr>
          <w:p w14:paraId="2EBEC3C4" w14:textId="77777777" w:rsidR="001D774F" w:rsidRDefault="001D774F" w:rsidP="00B82E2E">
            <w:pPr>
              <w:spacing w:line="240" w:lineRule="auto"/>
              <w:jc w:val="both"/>
              <w:rPr>
                <w:rFonts w:ascii="Times New Roman" w:eastAsia="Times New Roman" w:hAnsi="Times New Roman" w:cs="Times New Roman"/>
                <w:sz w:val="16"/>
                <w:szCs w:val="16"/>
              </w:rPr>
            </w:pPr>
            <w:proofErr w:type="spellStart"/>
            <w:r>
              <w:rPr>
                <w:rFonts w:ascii="Times New Roman" w:eastAsia="Times New Roman" w:hAnsi="Times New Roman" w:cs="Times New Roman"/>
                <w:sz w:val="16"/>
                <w:szCs w:val="16"/>
              </w:rPr>
              <w:t>Pagad</w:t>
            </w:r>
            <w:proofErr w:type="spellEnd"/>
            <w:r>
              <w:rPr>
                <w:rFonts w:ascii="Times New Roman" w:eastAsia="Times New Roman" w:hAnsi="Times New Roman" w:cs="Times New Roman"/>
                <w:sz w:val="16"/>
                <w:szCs w:val="16"/>
              </w:rPr>
              <w:t xml:space="preserve"> et al. 2018</w:t>
            </w:r>
          </w:p>
        </w:tc>
        <w:tc>
          <w:tcPr>
            <w:tcW w:w="0" w:type="auto"/>
          </w:tcPr>
          <w:p w14:paraId="6768F37E"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Higher numbers of IAS may  result in increased reporting of their impacts and efforts to manage them.</w:t>
            </w:r>
          </w:p>
        </w:tc>
      </w:tr>
      <w:tr w:rsidR="001D774F" w14:paraId="53AD879B" w14:textId="77777777" w:rsidTr="00B82E2E">
        <w:tc>
          <w:tcPr>
            <w:tcW w:w="0" w:type="auto"/>
          </w:tcPr>
          <w:p w14:paraId="2893AC2B"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Research effort in invasion science as number of relevant scientific papers </w:t>
            </w:r>
          </w:p>
        </w:tc>
        <w:tc>
          <w:tcPr>
            <w:tcW w:w="0" w:type="auto"/>
          </w:tcPr>
          <w:p w14:paraId="4440C690"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Number of papers</w:t>
            </w:r>
          </w:p>
        </w:tc>
        <w:tc>
          <w:tcPr>
            <w:tcW w:w="0" w:type="auto"/>
          </w:tcPr>
          <w:p w14:paraId="040E4D18"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Number of scientific papers obtained in a Google Scholar search when searching in the title for the following terms: "Country name" AND "biological invasions" OR "invasion science" OR "invasive species". For example, for the UK the search was "England" OR "UK" OR "Great Britain" OR "Scotland" OR "Wales" OR "Northern Ireland" OR "United Kingdom" AND "biological invasions" OR "invasion science" OR "invasive species".</w:t>
            </w:r>
          </w:p>
        </w:tc>
        <w:tc>
          <w:tcPr>
            <w:tcW w:w="0" w:type="auto"/>
          </w:tcPr>
          <w:p w14:paraId="33B04FD6"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Google Scholar</w:t>
            </w:r>
          </w:p>
        </w:tc>
        <w:tc>
          <w:tcPr>
            <w:tcW w:w="0" w:type="auto"/>
          </w:tcPr>
          <w:p w14:paraId="0DF38E7A" w14:textId="77777777" w:rsidR="001D774F" w:rsidRDefault="001D774F" w:rsidP="00B82E2E">
            <w:pPr>
              <w:spacing w:before="240" w:after="24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Higher research efforts may lead to increasing reporting of </w:t>
            </w:r>
            <w:proofErr w:type="spellStart"/>
            <w:r>
              <w:rPr>
                <w:rFonts w:ascii="Times New Roman" w:eastAsia="Times New Roman" w:hAnsi="Times New Roman" w:cs="Times New Roman"/>
                <w:sz w:val="16"/>
                <w:szCs w:val="16"/>
              </w:rPr>
              <w:t>IASe</w:t>
            </w:r>
            <w:proofErr w:type="spellEnd"/>
            <w:r>
              <w:rPr>
                <w:rFonts w:ascii="Times New Roman" w:eastAsia="Times New Roman" w:hAnsi="Times New Roman" w:cs="Times New Roman"/>
                <w:sz w:val="16"/>
                <w:szCs w:val="16"/>
              </w:rPr>
              <w:t xml:space="preserve"> damages and their management.</w:t>
            </w:r>
          </w:p>
        </w:tc>
      </w:tr>
      <w:tr w:rsidR="001D774F" w14:paraId="4A31F02A" w14:textId="77777777" w:rsidTr="00B82E2E">
        <w:tc>
          <w:tcPr>
            <w:tcW w:w="0" w:type="auto"/>
          </w:tcPr>
          <w:p w14:paraId="4338225F"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Research effort as expenditure in R&amp;D in % of GDP</w:t>
            </w:r>
          </w:p>
        </w:tc>
        <w:tc>
          <w:tcPr>
            <w:tcW w:w="0" w:type="auto"/>
          </w:tcPr>
          <w:p w14:paraId="5B8B60EA" w14:textId="77777777" w:rsidR="001D774F" w:rsidRDefault="001D774F" w:rsidP="00B82E2E">
            <w:pPr>
              <w:spacing w:line="240" w:lineRule="auto"/>
              <w:jc w:val="both"/>
              <w:rPr>
                <w:rFonts w:ascii="Times New Roman" w:eastAsia="Times New Roman" w:hAnsi="Times New Roman" w:cs="Times New Roman"/>
                <w:sz w:val="16"/>
                <w:szCs w:val="16"/>
              </w:rPr>
            </w:pPr>
          </w:p>
        </w:tc>
        <w:tc>
          <w:tcPr>
            <w:tcW w:w="0" w:type="auto"/>
          </w:tcPr>
          <w:p w14:paraId="0D11D903"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Percentage of the country’s GDP spent on R&amp;D in 2017</w:t>
            </w:r>
          </w:p>
        </w:tc>
        <w:tc>
          <w:tcPr>
            <w:tcW w:w="0" w:type="auto"/>
          </w:tcPr>
          <w:p w14:paraId="00BF0011"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World bank</w:t>
            </w:r>
          </w:p>
        </w:tc>
        <w:tc>
          <w:tcPr>
            <w:tcW w:w="0" w:type="auto"/>
          </w:tcPr>
          <w:p w14:paraId="3A723397" w14:textId="77777777" w:rsidR="001D774F" w:rsidRDefault="001D774F" w:rsidP="00B82E2E">
            <w:pPr>
              <w:spacing w:before="240" w:after="24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Higher efforts in research and development may lead to increased reporting of the damages of invasive species and their management</w:t>
            </w:r>
          </w:p>
        </w:tc>
      </w:tr>
      <w:tr w:rsidR="001D774F" w14:paraId="77FF7501" w14:textId="77777777" w:rsidTr="00B82E2E">
        <w:tc>
          <w:tcPr>
            <w:tcW w:w="0" w:type="auto"/>
          </w:tcPr>
          <w:p w14:paraId="78D7450F"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Research effort as expenditure in R&amp;D</w:t>
            </w:r>
          </w:p>
        </w:tc>
        <w:tc>
          <w:tcPr>
            <w:tcW w:w="0" w:type="auto"/>
          </w:tcPr>
          <w:p w14:paraId="75814D6D"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Billion US $</w:t>
            </w:r>
          </w:p>
        </w:tc>
        <w:tc>
          <w:tcPr>
            <w:tcW w:w="0" w:type="auto"/>
          </w:tcPr>
          <w:p w14:paraId="7C844DE6"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Money spent on public research institutions, </w:t>
            </w:r>
            <w:proofErr w:type="gramStart"/>
            <w:r>
              <w:rPr>
                <w:rFonts w:ascii="Times New Roman" w:eastAsia="Times New Roman" w:hAnsi="Times New Roman" w:cs="Times New Roman"/>
                <w:sz w:val="16"/>
                <w:szCs w:val="16"/>
              </w:rPr>
              <w:t>universities</w:t>
            </w:r>
            <w:proofErr w:type="gramEnd"/>
            <w:r>
              <w:rPr>
                <w:rFonts w:ascii="Times New Roman" w:eastAsia="Times New Roman" w:hAnsi="Times New Roman" w:cs="Times New Roman"/>
                <w:sz w:val="16"/>
                <w:szCs w:val="16"/>
              </w:rPr>
              <w:t xml:space="preserve"> and private non-profit organizations in 2017</w:t>
            </w:r>
          </w:p>
        </w:tc>
        <w:tc>
          <w:tcPr>
            <w:tcW w:w="0" w:type="auto"/>
          </w:tcPr>
          <w:p w14:paraId="7AAD61C5"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World bank</w:t>
            </w:r>
          </w:p>
        </w:tc>
        <w:tc>
          <w:tcPr>
            <w:tcW w:w="0" w:type="auto"/>
          </w:tcPr>
          <w:p w14:paraId="688CAE16" w14:textId="77777777" w:rsidR="001D774F" w:rsidRDefault="001D774F" w:rsidP="00B82E2E">
            <w:pPr>
              <w:spacing w:before="240" w:after="24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Higher research efforts might lead to increased reporting of the damages of IAS damages and their management</w:t>
            </w:r>
          </w:p>
        </w:tc>
      </w:tr>
      <w:tr w:rsidR="001D774F" w14:paraId="4513C677" w14:textId="77777777" w:rsidTr="00B82E2E">
        <w:tc>
          <w:tcPr>
            <w:tcW w:w="0" w:type="auto"/>
          </w:tcPr>
          <w:p w14:paraId="1E38A09A"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Number of researchers</w:t>
            </w:r>
          </w:p>
        </w:tc>
        <w:tc>
          <w:tcPr>
            <w:tcW w:w="0" w:type="auto"/>
          </w:tcPr>
          <w:p w14:paraId="7D75E385"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Thousands of researchers</w:t>
            </w:r>
          </w:p>
        </w:tc>
        <w:tc>
          <w:tcPr>
            <w:tcW w:w="0" w:type="auto"/>
          </w:tcPr>
          <w:p w14:paraId="2EA672A2"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Total number of researchers per country at a scale of thousands in 2017</w:t>
            </w:r>
          </w:p>
        </w:tc>
        <w:tc>
          <w:tcPr>
            <w:tcW w:w="0" w:type="auto"/>
          </w:tcPr>
          <w:p w14:paraId="42887A82"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World bank</w:t>
            </w:r>
          </w:p>
        </w:tc>
        <w:tc>
          <w:tcPr>
            <w:tcW w:w="0" w:type="auto"/>
          </w:tcPr>
          <w:p w14:paraId="08D095E9" w14:textId="77777777" w:rsidR="001D774F" w:rsidRDefault="001D774F" w:rsidP="00B82E2E">
            <w:pPr>
              <w:spacing w:before="240" w:after="24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Higher numbers of researchers may lead to increased reporting of IAS damages and management costs</w:t>
            </w:r>
          </w:p>
        </w:tc>
      </w:tr>
      <w:tr w:rsidR="001D774F" w14:paraId="5F099E69" w14:textId="77777777" w:rsidTr="00B82E2E">
        <w:tc>
          <w:tcPr>
            <w:tcW w:w="0" w:type="auto"/>
          </w:tcPr>
          <w:p w14:paraId="22B18D43"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International tourism as expenditures</w:t>
            </w:r>
          </w:p>
        </w:tc>
        <w:tc>
          <w:tcPr>
            <w:tcW w:w="0" w:type="auto"/>
          </w:tcPr>
          <w:p w14:paraId="10850880"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Billion US $ </w:t>
            </w:r>
          </w:p>
        </w:tc>
        <w:tc>
          <w:tcPr>
            <w:tcW w:w="0" w:type="auto"/>
          </w:tcPr>
          <w:p w14:paraId="5AA3E313"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Average of the expenditures of international tourism in 2017</w:t>
            </w:r>
          </w:p>
        </w:tc>
        <w:tc>
          <w:tcPr>
            <w:tcW w:w="0" w:type="auto"/>
          </w:tcPr>
          <w:p w14:paraId="5C4B422B"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World bank</w:t>
            </w:r>
          </w:p>
        </w:tc>
        <w:tc>
          <w:tcPr>
            <w:tcW w:w="0" w:type="auto"/>
          </w:tcPr>
          <w:p w14:paraId="4E364589" w14:textId="77777777" w:rsidR="001D774F" w:rsidRDefault="001D774F" w:rsidP="00B82E2E">
            <w:pPr>
              <w:spacing w:before="240" w:after="24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International tourism may result in higher possibilities for IAS to be introduced, propagate and lead to increased reporting of their costs/impacts and efforts to manage them. </w:t>
            </w:r>
          </w:p>
          <w:p w14:paraId="1316716A" w14:textId="77777777" w:rsidR="001D774F" w:rsidRDefault="001D774F" w:rsidP="00B82E2E">
            <w:pPr>
              <w:spacing w:line="240" w:lineRule="auto"/>
              <w:jc w:val="both"/>
              <w:rPr>
                <w:rFonts w:ascii="Times New Roman" w:eastAsia="Times New Roman" w:hAnsi="Times New Roman" w:cs="Times New Roman"/>
                <w:sz w:val="16"/>
                <w:szCs w:val="16"/>
              </w:rPr>
            </w:pPr>
          </w:p>
        </w:tc>
      </w:tr>
      <w:tr w:rsidR="001D774F" w14:paraId="712AE96E" w14:textId="77777777" w:rsidTr="00B82E2E">
        <w:tc>
          <w:tcPr>
            <w:tcW w:w="0" w:type="auto"/>
          </w:tcPr>
          <w:p w14:paraId="0F0F171C"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International tourism as number of arrivals</w:t>
            </w:r>
          </w:p>
        </w:tc>
        <w:tc>
          <w:tcPr>
            <w:tcW w:w="0" w:type="auto"/>
          </w:tcPr>
          <w:p w14:paraId="50F65567"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Millions of tourists</w:t>
            </w:r>
          </w:p>
        </w:tc>
        <w:tc>
          <w:tcPr>
            <w:tcW w:w="0" w:type="auto"/>
          </w:tcPr>
          <w:p w14:paraId="15372E28"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Number of tourists arriving to the country per year, at a scale of millions, in 2017</w:t>
            </w:r>
          </w:p>
        </w:tc>
        <w:tc>
          <w:tcPr>
            <w:tcW w:w="0" w:type="auto"/>
          </w:tcPr>
          <w:p w14:paraId="00F270ED"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World bank</w:t>
            </w:r>
          </w:p>
        </w:tc>
        <w:tc>
          <w:tcPr>
            <w:tcW w:w="0" w:type="auto"/>
          </w:tcPr>
          <w:p w14:paraId="6FE2F702" w14:textId="77777777" w:rsidR="001D774F" w:rsidRDefault="001D774F" w:rsidP="00B82E2E">
            <w:pPr>
              <w:spacing w:before="240" w:after="24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International tourism may result in higher possibilities for IAS to be introduced, propagate and lead to  increased reporting of their costs/impacts and efforts to manage them.</w:t>
            </w:r>
          </w:p>
        </w:tc>
      </w:tr>
      <w:tr w:rsidR="001D774F" w14:paraId="5C48A687" w14:textId="77777777" w:rsidTr="00B82E2E">
        <w:tc>
          <w:tcPr>
            <w:tcW w:w="0" w:type="auto"/>
          </w:tcPr>
          <w:p w14:paraId="164A274F" w14:textId="77777777" w:rsidR="001D774F" w:rsidRDefault="001D774F" w:rsidP="00B82E2E">
            <w:pPr>
              <w:spacing w:line="240" w:lineRule="auto"/>
              <w:jc w:val="both"/>
              <w:rPr>
                <w:rFonts w:ascii="Times New Roman" w:eastAsia="Times New Roman" w:hAnsi="Times New Roman" w:cs="Times New Roman"/>
                <w:sz w:val="16"/>
                <w:szCs w:val="16"/>
              </w:rPr>
            </w:pPr>
          </w:p>
        </w:tc>
        <w:tc>
          <w:tcPr>
            <w:tcW w:w="0" w:type="auto"/>
          </w:tcPr>
          <w:p w14:paraId="35D2CF67" w14:textId="77777777" w:rsidR="001D774F" w:rsidRDefault="001D774F" w:rsidP="00B82E2E">
            <w:pPr>
              <w:spacing w:line="240" w:lineRule="auto"/>
              <w:jc w:val="both"/>
              <w:rPr>
                <w:rFonts w:ascii="Times New Roman" w:eastAsia="Times New Roman" w:hAnsi="Times New Roman" w:cs="Times New Roman"/>
                <w:sz w:val="16"/>
                <w:szCs w:val="16"/>
              </w:rPr>
            </w:pPr>
          </w:p>
        </w:tc>
        <w:tc>
          <w:tcPr>
            <w:tcW w:w="0" w:type="auto"/>
          </w:tcPr>
          <w:p w14:paraId="736B63C1" w14:textId="77777777" w:rsidR="001D774F" w:rsidRDefault="001D774F" w:rsidP="00B82E2E">
            <w:pPr>
              <w:spacing w:line="240" w:lineRule="auto"/>
              <w:jc w:val="both"/>
              <w:rPr>
                <w:rFonts w:ascii="Times New Roman" w:eastAsia="Times New Roman" w:hAnsi="Times New Roman" w:cs="Times New Roman"/>
                <w:sz w:val="16"/>
                <w:szCs w:val="16"/>
              </w:rPr>
            </w:pPr>
          </w:p>
        </w:tc>
        <w:tc>
          <w:tcPr>
            <w:tcW w:w="0" w:type="auto"/>
          </w:tcPr>
          <w:p w14:paraId="79DECBEF" w14:textId="77777777" w:rsidR="001D774F" w:rsidRDefault="001D774F" w:rsidP="00B82E2E">
            <w:pPr>
              <w:spacing w:line="240" w:lineRule="auto"/>
              <w:jc w:val="both"/>
              <w:rPr>
                <w:rFonts w:ascii="Times New Roman" w:eastAsia="Times New Roman" w:hAnsi="Times New Roman" w:cs="Times New Roman"/>
                <w:sz w:val="16"/>
                <w:szCs w:val="16"/>
              </w:rPr>
            </w:pPr>
          </w:p>
        </w:tc>
        <w:tc>
          <w:tcPr>
            <w:tcW w:w="0" w:type="auto"/>
          </w:tcPr>
          <w:p w14:paraId="73429485" w14:textId="77777777" w:rsidR="001D774F" w:rsidRDefault="001D774F" w:rsidP="00B82E2E">
            <w:pPr>
              <w:spacing w:line="240" w:lineRule="auto"/>
              <w:jc w:val="both"/>
              <w:rPr>
                <w:rFonts w:ascii="Times New Roman" w:eastAsia="Times New Roman" w:hAnsi="Times New Roman" w:cs="Times New Roman"/>
                <w:sz w:val="16"/>
                <w:szCs w:val="16"/>
              </w:rPr>
            </w:pPr>
          </w:p>
        </w:tc>
      </w:tr>
      <w:tr w:rsidR="001D774F" w14:paraId="567FB16D" w14:textId="77777777" w:rsidTr="00B82E2E">
        <w:tc>
          <w:tcPr>
            <w:tcW w:w="0" w:type="auto"/>
          </w:tcPr>
          <w:p w14:paraId="6A297EC1"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Goods imports</w:t>
            </w:r>
          </w:p>
        </w:tc>
        <w:tc>
          <w:tcPr>
            <w:tcW w:w="0" w:type="auto"/>
          </w:tcPr>
          <w:p w14:paraId="54F099AA"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US $</w:t>
            </w:r>
          </w:p>
        </w:tc>
        <w:tc>
          <w:tcPr>
            <w:tcW w:w="0" w:type="auto"/>
          </w:tcPr>
          <w:p w14:paraId="2D43E9A6"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Value of all goods and other market services received from the rest of the world in 2017 measured in 2010 US $. </w:t>
            </w:r>
          </w:p>
        </w:tc>
        <w:tc>
          <w:tcPr>
            <w:tcW w:w="0" w:type="auto"/>
          </w:tcPr>
          <w:p w14:paraId="21674572" w14:textId="77777777" w:rsidR="001D774F" w:rsidRDefault="001D774F" w:rsidP="00B82E2E">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World bank</w:t>
            </w:r>
          </w:p>
        </w:tc>
        <w:tc>
          <w:tcPr>
            <w:tcW w:w="0" w:type="auto"/>
          </w:tcPr>
          <w:p w14:paraId="11DFEC7A" w14:textId="77777777" w:rsidR="001D774F" w:rsidRDefault="001D774F" w:rsidP="00B82E2E">
            <w:pPr>
              <w:spacing w:before="240" w:after="24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More imports of goods, may result in higher possibilities for IAS  to be introduced, propagate and lead to increased reporting of their costs/impacts and efforts to manage them.</w:t>
            </w:r>
          </w:p>
        </w:tc>
      </w:tr>
    </w:tbl>
    <w:p w14:paraId="77937450" w14:textId="6DA4EDE1" w:rsidR="008F1150" w:rsidRPr="001D774F" w:rsidRDefault="008F1150">
      <w:pPr>
        <w:rPr>
          <w:rFonts w:ascii="Times New Roman" w:eastAsia="Times New Roman" w:hAnsi="Times New Roman" w:cs="Times New Roman"/>
          <w:sz w:val="24"/>
          <w:szCs w:val="24"/>
        </w:rPr>
      </w:pPr>
    </w:p>
    <w:sectPr w:rsidR="008F1150" w:rsidRPr="001D774F" w:rsidSect="004F73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3FC"/>
    <w:rsid w:val="001D774F"/>
    <w:rsid w:val="00201396"/>
    <w:rsid w:val="004F7314"/>
    <w:rsid w:val="008F1150"/>
    <w:rsid w:val="00E173FC"/>
  </w:rsids>
  <m:mathPr>
    <m:mathFont m:val="Cambria Math"/>
    <m:brkBin m:val="before"/>
    <m:brkBinSub m:val="--"/>
    <m:smallFrac m:val="0"/>
    <m:dispDef/>
    <m:lMargin m:val="0"/>
    <m:rMargin m:val="0"/>
    <m:defJc m:val="centerGroup"/>
    <m:wrapIndent m:val="1440"/>
    <m:intLim m:val="subSup"/>
    <m:naryLim m:val="undOvr"/>
  </m:mathPr>
  <w:themeFontLang w:val="de-DE"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04F58"/>
  <w15:chartTrackingRefBased/>
  <w15:docId w15:val="{5C19C9A5-D2C0-49DA-923E-548171710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D774F"/>
    <w:rPr>
      <w:rFonts w:ascii="Calibri" w:eastAsia="Calibri" w:hAnsi="Calibri" w:cs="Calibri"/>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536</Words>
  <Characters>3056</Characters>
  <Application>Microsoft Office Word</Application>
  <DocSecurity>0</DocSecurity>
  <Lines>25</Lines>
  <Paragraphs>7</Paragraphs>
  <ScaleCrop>false</ScaleCrop>
  <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2</cp:revision>
  <dcterms:created xsi:type="dcterms:W3CDTF">2020-08-31T22:37:00Z</dcterms:created>
  <dcterms:modified xsi:type="dcterms:W3CDTF">2020-08-31T22:37:00Z</dcterms:modified>
</cp:coreProperties>
</file>