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FAF326" w14:textId="4F462E34" w:rsidR="005F40C3" w:rsidRPr="005F40C3" w:rsidRDefault="00D55CAE" w:rsidP="008C21F4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5F40C3">
        <w:rPr>
          <w:rFonts w:ascii="Arial" w:hAnsi="Arial" w:cs="Arial"/>
          <w:b/>
          <w:bCs/>
          <w:sz w:val="24"/>
          <w:szCs w:val="24"/>
          <w:lang w:val="en-US"/>
        </w:rPr>
        <w:t>Supplemental Figure</w:t>
      </w:r>
      <w:r w:rsidR="005F40C3" w:rsidRPr="005F40C3">
        <w:rPr>
          <w:rFonts w:ascii="Arial" w:hAnsi="Arial" w:cs="Arial"/>
          <w:b/>
          <w:bCs/>
          <w:sz w:val="24"/>
          <w:szCs w:val="24"/>
          <w:lang w:val="en-US"/>
        </w:rPr>
        <w:t xml:space="preserve"> S1:</w:t>
      </w:r>
      <w:r w:rsidR="005F40C3" w:rsidRPr="005F40C3">
        <w:rPr>
          <w:rFonts w:ascii="Arial" w:hAnsi="Arial" w:cs="Arial"/>
          <w:sz w:val="24"/>
          <w:szCs w:val="24"/>
          <w:lang w:val="en-US"/>
        </w:rPr>
        <w:t xml:space="preserve">  Map of the Exclusive Economic Zone of Saba. That zone, outlined by the dashed line, includes Saba, Sint Eustatius, and the southern hal</w:t>
      </w:r>
      <w:bookmarkStart w:id="0" w:name="_GoBack"/>
      <w:bookmarkEnd w:id="0"/>
      <w:r w:rsidR="005F40C3" w:rsidRPr="005F40C3">
        <w:rPr>
          <w:rFonts w:ascii="Arial" w:hAnsi="Arial" w:cs="Arial"/>
          <w:sz w:val="24"/>
          <w:szCs w:val="24"/>
          <w:lang w:val="en-US"/>
        </w:rPr>
        <w:t xml:space="preserve">f of Sint Maarten island. Source: Figure 2 of </w:t>
      </w:r>
      <w:proofErr w:type="spellStart"/>
      <w:r w:rsidR="005F40C3" w:rsidRPr="005F40C3">
        <w:rPr>
          <w:rFonts w:ascii="Arial" w:hAnsi="Arial" w:cs="Arial"/>
          <w:sz w:val="24"/>
          <w:szCs w:val="24"/>
          <w:lang w:val="en-US"/>
        </w:rPr>
        <w:t>Hoetjes</w:t>
      </w:r>
      <w:proofErr w:type="spellEnd"/>
      <w:r w:rsidR="005F40C3" w:rsidRPr="005F40C3">
        <w:rPr>
          <w:rFonts w:ascii="Arial" w:hAnsi="Arial" w:cs="Arial"/>
          <w:sz w:val="24"/>
          <w:szCs w:val="24"/>
          <w:lang w:val="en-US"/>
        </w:rPr>
        <w:t xml:space="preserve"> and Carpenter (2010). </w:t>
      </w:r>
    </w:p>
    <w:p w14:paraId="774ED03E" w14:textId="77777777" w:rsidR="005F40C3" w:rsidRPr="005F40C3" w:rsidRDefault="005F40C3" w:rsidP="008C21F4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14:paraId="2597D9C1" w14:textId="77777777" w:rsidR="005F40C3" w:rsidRPr="005F40C3" w:rsidRDefault="005F40C3" w:rsidP="008C21F4">
      <w:pPr>
        <w:spacing w:line="240" w:lineRule="auto"/>
        <w:rPr>
          <w:rFonts w:ascii="Arial" w:hAnsi="Arial" w:cs="Arial"/>
          <w:sz w:val="24"/>
          <w:szCs w:val="24"/>
        </w:rPr>
      </w:pPr>
      <w:r w:rsidRPr="005F40C3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11AF4368" wp14:editId="0BB99DDD">
            <wp:extent cx="5486400" cy="60204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02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98513" w14:textId="77777777" w:rsidR="005F40C3" w:rsidRPr="005F40C3" w:rsidRDefault="005F40C3" w:rsidP="008C21F4">
      <w:pPr>
        <w:spacing w:line="240" w:lineRule="auto"/>
        <w:rPr>
          <w:rFonts w:ascii="Arial" w:hAnsi="Arial" w:cs="Arial"/>
          <w:sz w:val="24"/>
          <w:szCs w:val="24"/>
        </w:rPr>
      </w:pPr>
    </w:p>
    <w:sectPr w:rsidR="005F40C3" w:rsidRPr="005F4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0C3"/>
    <w:rsid w:val="005F40C3"/>
    <w:rsid w:val="008C21F4"/>
    <w:rsid w:val="00D5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DCE679"/>
  <w15:chartTrackingRefBased/>
  <w15:docId w15:val="{03950EC8-62DD-4F50-9C36-8EC079C54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40C3"/>
    <w:rPr>
      <w:rFonts w:ascii="Calibri" w:eastAsia="Calibri" w:hAnsi="Calibri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204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Pena, Ernesto</dc:creator>
  <cp:keywords/>
  <dc:description/>
  <cp:lastModifiedBy>Pena, Ernesto</cp:lastModifiedBy>
  <cp:revision>3</cp:revision>
  <dcterms:created xsi:type="dcterms:W3CDTF">2020-09-07T15:23:00Z</dcterms:created>
  <dcterms:modified xsi:type="dcterms:W3CDTF">2020-09-08T12:13:00Z</dcterms:modified>
</cp:coreProperties>
</file>