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5FF49" w14:textId="764F1E72" w:rsidR="008C6CB3" w:rsidRDefault="008C6CB3" w:rsidP="008C6CB3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Figure S1</w:t>
      </w:r>
      <w:r w:rsidR="00D86049" w:rsidRPr="00CE3880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D86049">
        <w:rPr>
          <w:rFonts w:asciiTheme="majorBidi" w:hAnsiTheme="majorBidi" w:cstheme="majorBidi"/>
          <w:sz w:val="24"/>
          <w:szCs w:val="24"/>
        </w:rPr>
        <w:t xml:space="preserve"> </w:t>
      </w:r>
      <w:r w:rsidRPr="00AD76C1">
        <w:rPr>
          <w:rFonts w:asciiTheme="majorBidi" w:hAnsiTheme="majorBidi" w:cstheme="majorBidi"/>
          <w:sz w:val="24"/>
          <w:szCs w:val="24"/>
        </w:rPr>
        <w:t>Growth</w:t>
      </w:r>
      <w:r w:rsidRPr="00CA428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scale </w:t>
      </w:r>
      <w:r w:rsidRPr="00AD76C1">
        <w:rPr>
          <w:rFonts w:asciiTheme="majorBidi" w:hAnsiTheme="majorBidi" w:cstheme="majorBidi"/>
          <w:sz w:val="24"/>
          <w:szCs w:val="24"/>
        </w:rPr>
        <w:t xml:space="preserve">of </w:t>
      </w:r>
      <w:r w:rsidRPr="006426CC">
        <w:rPr>
          <w:rFonts w:asciiTheme="majorBidi" w:hAnsiTheme="majorBidi" w:cstheme="majorBidi"/>
          <w:i/>
          <w:iCs/>
          <w:sz w:val="24"/>
          <w:szCs w:val="24"/>
        </w:rPr>
        <w:t xml:space="preserve">Xylella </w:t>
      </w:r>
      <w:proofErr w:type="spellStart"/>
      <w:r w:rsidRPr="006426CC">
        <w:rPr>
          <w:rFonts w:asciiTheme="majorBidi" w:hAnsiTheme="majorBidi" w:cstheme="majorBidi"/>
          <w:i/>
          <w:iCs/>
          <w:sz w:val="24"/>
          <w:szCs w:val="24"/>
        </w:rPr>
        <w:t>fastidiosa</w:t>
      </w:r>
      <w:proofErr w:type="spellEnd"/>
      <w:r w:rsidRPr="00AD76C1">
        <w:rPr>
          <w:rFonts w:asciiTheme="majorBidi" w:hAnsiTheme="majorBidi" w:cstheme="majorBidi"/>
          <w:sz w:val="24"/>
          <w:szCs w:val="24"/>
        </w:rPr>
        <w:t xml:space="preserve"> strain STL</w:t>
      </w:r>
      <w:r w:rsidRPr="00CA4287">
        <w:rPr>
          <w:rFonts w:asciiTheme="majorBidi" w:hAnsiTheme="majorBidi" w:cstheme="majorBidi"/>
          <w:sz w:val="24"/>
          <w:szCs w:val="24"/>
        </w:rPr>
        <w:t xml:space="preserve"> </w:t>
      </w:r>
      <w:r w:rsidRPr="00C71353">
        <w:rPr>
          <w:rFonts w:asciiTheme="majorBidi" w:hAnsiTheme="majorBidi" w:cstheme="majorBidi"/>
          <w:sz w:val="24"/>
          <w:szCs w:val="24"/>
        </w:rPr>
        <w:t>as a relative suitability between 0 and 1</w:t>
      </w:r>
    </w:p>
    <w:p w14:paraId="544FFB9E" w14:textId="2338E6A0" w:rsidR="008C6CB3" w:rsidRDefault="008C6CB3" w:rsidP="008C6CB3">
      <w:pPr>
        <w:jc w:val="center"/>
        <w:rPr>
          <w:rFonts w:asciiTheme="majorBidi" w:hAnsiTheme="majorBidi" w:cstheme="majorBidi"/>
          <w:sz w:val="24"/>
          <w:szCs w:val="24"/>
        </w:rPr>
      </w:pPr>
      <w:r w:rsidRPr="00F22637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8F4451E" wp14:editId="0F587756">
            <wp:extent cx="6038850" cy="3467100"/>
            <wp:effectExtent l="0" t="0" r="19050" b="1905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AB7A5C1" w14:textId="3CAEBBB8" w:rsidR="008C6CB3" w:rsidRPr="00C71353" w:rsidRDefault="00D86049" w:rsidP="008C6CB3">
      <w:pPr>
        <w:jc w:val="both"/>
        <w:rPr>
          <w:rFonts w:asciiTheme="majorBidi" w:hAnsiTheme="majorBidi" w:cstheme="majorBidi"/>
          <w:sz w:val="24"/>
          <w:szCs w:val="24"/>
        </w:rPr>
      </w:pPr>
      <w:r w:rsidRPr="004D486F">
        <w:rPr>
          <w:rFonts w:asciiTheme="majorBidi" w:hAnsiTheme="majorBidi" w:cstheme="majorBidi"/>
          <w:b/>
          <w:bCs/>
          <w:sz w:val="24"/>
          <w:szCs w:val="24"/>
        </w:rPr>
        <w:t>Source:</w:t>
      </w:r>
      <w:r w:rsidRPr="004D486F">
        <w:rPr>
          <w:rFonts w:asciiTheme="majorBidi" w:hAnsiTheme="majorBidi" w:cstheme="majorBidi"/>
          <w:sz w:val="24"/>
          <w:szCs w:val="24"/>
        </w:rPr>
        <w:t xml:space="preserve"> </w:t>
      </w:r>
      <w:r w:rsidR="008C6CB3">
        <w:rPr>
          <w:rFonts w:asciiTheme="majorBidi" w:hAnsiTheme="majorBidi" w:cstheme="majorBidi"/>
          <w:sz w:val="24"/>
          <w:szCs w:val="24"/>
        </w:rPr>
        <w:t xml:space="preserve">Our elaboration based on Feil and Purcell </w:t>
      </w:r>
      <w:r w:rsidR="00C15A30">
        <w:rPr>
          <w:rFonts w:asciiTheme="majorBidi" w:hAnsiTheme="majorBidi" w:cstheme="majorBidi"/>
          <w:sz w:val="24"/>
          <w:szCs w:val="24"/>
        </w:rPr>
        <w:t>(</w:t>
      </w:r>
      <w:r w:rsidR="008C6CB3">
        <w:rPr>
          <w:rFonts w:asciiTheme="majorBidi" w:hAnsiTheme="majorBidi" w:cstheme="majorBidi"/>
          <w:sz w:val="24"/>
          <w:szCs w:val="24"/>
        </w:rPr>
        <w:t>2001</w:t>
      </w:r>
      <w:r w:rsidR="00C15A30">
        <w:rPr>
          <w:rFonts w:asciiTheme="majorBidi" w:hAnsiTheme="majorBidi" w:cstheme="majorBidi"/>
          <w:sz w:val="24"/>
          <w:szCs w:val="24"/>
        </w:rPr>
        <w:t>)</w:t>
      </w:r>
      <w:r w:rsidR="008C6CB3">
        <w:rPr>
          <w:rFonts w:asciiTheme="majorBidi" w:hAnsiTheme="majorBidi" w:cstheme="majorBidi"/>
          <w:sz w:val="24"/>
          <w:szCs w:val="24"/>
        </w:rPr>
        <w:t xml:space="preserve"> in respect to the g</w:t>
      </w:r>
      <w:r w:rsidR="008C6CB3" w:rsidRPr="00AD76C1">
        <w:rPr>
          <w:rFonts w:asciiTheme="majorBidi" w:hAnsiTheme="majorBidi" w:cstheme="majorBidi"/>
          <w:sz w:val="24"/>
          <w:szCs w:val="24"/>
        </w:rPr>
        <w:t xml:space="preserve">rowth of </w:t>
      </w:r>
      <w:r w:rsidR="008C6CB3" w:rsidRPr="006426CC">
        <w:rPr>
          <w:rFonts w:asciiTheme="majorBidi" w:hAnsiTheme="majorBidi" w:cstheme="majorBidi"/>
          <w:i/>
          <w:iCs/>
          <w:sz w:val="24"/>
          <w:szCs w:val="24"/>
        </w:rPr>
        <w:t xml:space="preserve">Xylella </w:t>
      </w:r>
      <w:proofErr w:type="spellStart"/>
      <w:r w:rsidR="008C6CB3" w:rsidRPr="006426CC">
        <w:rPr>
          <w:rFonts w:asciiTheme="majorBidi" w:hAnsiTheme="majorBidi" w:cstheme="majorBidi"/>
          <w:i/>
          <w:iCs/>
          <w:sz w:val="24"/>
          <w:szCs w:val="24"/>
        </w:rPr>
        <w:t>fastidiosa</w:t>
      </w:r>
      <w:proofErr w:type="spellEnd"/>
      <w:r w:rsidR="008C6CB3" w:rsidRPr="00AD76C1">
        <w:rPr>
          <w:rFonts w:asciiTheme="majorBidi" w:hAnsiTheme="majorBidi" w:cstheme="majorBidi"/>
          <w:sz w:val="24"/>
          <w:szCs w:val="24"/>
        </w:rPr>
        <w:t xml:space="preserve"> strain STL in periwinkle wilt (PW) broth medium at different</w:t>
      </w:r>
      <w:r w:rsidR="008C6CB3">
        <w:rPr>
          <w:rFonts w:asciiTheme="majorBidi" w:hAnsiTheme="majorBidi" w:cstheme="majorBidi"/>
          <w:sz w:val="24"/>
          <w:szCs w:val="24"/>
        </w:rPr>
        <w:t xml:space="preserve"> </w:t>
      </w:r>
      <w:r w:rsidR="008C6CB3" w:rsidRPr="00AD76C1">
        <w:rPr>
          <w:rFonts w:asciiTheme="majorBidi" w:hAnsiTheme="majorBidi" w:cstheme="majorBidi"/>
          <w:sz w:val="24"/>
          <w:szCs w:val="24"/>
        </w:rPr>
        <w:t>temperatures over a period of 11 days</w:t>
      </w:r>
      <w:r w:rsidR="008C6CB3">
        <w:rPr>
          <w:rFonts w:asciiTheme="majorBidi" w:hAnsiTheme="majorBidi" w:cstheme="majorBidi"/>
          <w:sz w:val="24"/>
          <w:szCs w:val="24"/>
        </w:rPr>
        <w:t>. This reference</w:t>
      </w:r>
      <w:r w:rsidR="008C6CB3">
        <w:rPr>
          <w:rFonts w:ascii="Times-Roman" w:hAnsi="Times-Roman" w:cs="Times-Roman"/>
          <w:sz w:val="24"/>
          <w:szCs w:val="24"/>
        </w:rPr>
        <w:t xml:space="preserve"> was used to </w:t>
      </w:r>
      <w:r w:rsidR="008C6CB3" w:rsidRPr="00C71353">
        <w:rPr>
          <w:rFonts w:asciiTheme="majorBidi" w:hAnsiTheme="majorBidi" w:cstheme="majorBidi"/>
          <w:sz w:val="24"/>
          <w:szCs w:val="24"/>
        </w:rPr>
        <w:t>fit a growth curve,</w:t>
      </w:r>
      <w:r w:rsidR="008C6CB3">
        <w:rPr>
          <w:rFonts w:asciiTheme="majorBidi" w:hAnsiTheme="majorBidi" w:cstheme="majorBidi"/>
          <w:sz w:val="24"/>
          <w:szCs w:val="24"/>
        </w:rPr>
        <w:t xml:space="preserve"> with optimum temperature of 28</w:t>
      </w:r>
      <w:r w:rsidR="008C6CB3" w:rsidRPr="00C71353">
        <w:rPr>
          <w:rFonts w:asciiTheme="majorBidi" w:hAnsiTheme="majorBidi" w:cstheme="majorBidi"/>
          <w:sz w:val="24"/>
          <w:szCs w:val="24"/>
        </w:rPr>
        <w:t>°C</w:t>
      </w:r>
      <w:r w:rsidR="008C6CB3">
        <w:rPr>
          <w:rFonts w:asciiTheme="majorBidi" w:hAnsiTheme="majorBidi" w:cstheme="majorBidi"/>
          <w:sz w:val="24"/>
          <w:szCs w:val="24"/>
        </w:rPr>
        <w:t>.</w:t>
      </w:r>
      <w:r w:rsidR="008C6CB3" w:rsidRPr="00CA4287">
        <w:rPr>
          <w:rFonts w:asciiTheme="majorBidi" w:hAnsiTheme="majorBidi" w:cstheme="majorBidi"/>
          <w:sz w:val="24"/>
          <w:szCs w:val="24"/>
        </w:rPr>
        <w:t xml:space="preserve"> </w:t>
      </w:r>
      <w:r w:rsidR="008C6CB3" w:rsidRPr="00C71353">
        <w:rPr>
          <w:rFonts w:asciiTheme="majorBidi" w:hAnsiTheme="majorBidi" w:cstheme="majorBidi"/>
          <w:sz w:val="24"/>
          <w:szCs w:val="24"/>
        </w:rPr>
        <w:t xml:space="preserve">This growth curve was rescaled as a relative suitability between 0 </w:t>
      </w:r>
      <w:r w:rsidR="008C6CB3">
        <w:rPr>
          <w:rFonts w:asciiTheme="majorBidi" w:hAnsiTheme="majorBidi" w:cstheme="majorBidi"/>
          <w:sz w:val="24"/>
          <w:szCs w:val="24"/>
        </w:rPr>
        <w:t xml:space="preserve">(lowest) </w:t>
      </w:r>
      <w:r w:rsidR="008C6CB3" w:rsidRPr="00C71353">
        <w:rPr>
          <w:rFonts w:asciiTheme="majorBidi" w:hAnsiTheme="majorBidi" w:cstheme="majorBidi"/>
          <w:sz w:val="24"/>
          <w:szCs w:val="24"/>
        </w:rPr>
        <w:t>and 1</w:t>
      </w:r>
      <w:r w:rsidR="008C6CB3">
        <w:rPr>
          <w:rFonts w:asciiTheme="majorBidi" w:hAnsiTheme="majorBidi" w:cstheme="majorBidi"/>
          <w:sz w:val="24"/>
          <w:szCs w:val="24"/>
        </w:rPr>
        <w:t xml:space="preserve"> (highest)</w:t>
      </w:r>
      <w:r w:rsidR="008C6CB3" w:rsidRPr="00C71353">
        <w:rPr>
          <w:rFonts w:asciiTheme="majorBidi" w:hAnsiTheme="majorBidi" w:cstheme="majorBidi"/>
          <w:sz w:val="24"/>
          <w:szCs w:val="24"/>
        </w:rPr>
        <w:t>.</w:t>
      </w:r>
    </w:p>
    <w:p w14:paraId="35DF40D3" w14:textId="77777777" w:rsidR="00F22637" w:rsidRPr="005D5223" w:rsidRDefault="00F22637" w:rsidP="00F22637">
      <w:pPr>
        <w:jc w:val="both"/>
        <w:rPr>
          <w:rFonts w:ascii="Times New Roman" w:hAnsi="Times New Roman" w:cs="Times New Roman"/>
          <w:sz w:val="24"/>
          <w:szCs w:val="24"/>
        </w:rPr>
      </w:pPr>
      <w:r w:rsidRPr="005D5223">
        <w:rPr>
          <w:rFonts w:ascii="Times New Roman" w:hAnsi="Times New Roman" w:cs="Times New Roman"/>
          <w:i/>
          <w:sz w:val="24"/>
          <w:szCs w:val="24"/>
        </w:rPr>
        <w:t xml:space="preserve">Xylella </w:t>
      </w:r>
      <w:proofErr w:type="spellStart"/>
      <w:r w:rsidRPr="005D5223">
        <w:rPr>
          <w:rFonts w:ascii="Times New Roman" w:hAnsi="Times New Roman" w:cs="Times New Roman"/>
          <w:i/>
          <w:sz w:val="24"/>
          <w:szCs w:val="24"/>
        </w:rPr>
        <w:t>fastidiosa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growth rate is known to be sensitive to temperature. A suitable thermal regime is likely to be an important risk driver. In fact, the survival of </w:t>
      </w:r>
      <w:r w:rsidRPr="005D5223">
        <w:rPr>
          <w:rFonts w:ascii="Times New Roman" w:hAnsi="Times New Roman" w:cs="Times New Roman"/>
          <w:i/>
          <w:iCs/>
          <w:sz w:val="24"/>
          <w:szCs w:val="24"/>
        </w:rPr>
        <w:t xml:space="preserve">X. </w:t>
      </w:r>
      <w:proofErr w:type="spellStart"/>
      <w:r w:rsidRPr="005D5223">
        <w:rPr>
          <w:rFonts w:ascii="Times New Roman" w:hAnsi="Times New Roman" w:cs="Times New Roman"/>
          <w:i/>
          <w:iCs/>
          <w:sz w:val="24"/>
          <w:szCs w:val="24"/>
        </w:rPr>
        <w:t>fastidiosa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in grapevines is affected below 12 to 17°C and above 34°C, whereas its growth rate is rapid between 25 and 32°C, with an optimum of 28°C, for the epidemiol</w:t>
      </w:r>
      <w:r>
        <w:rPr>
          <w:rFonts w:ascii="Times New Roman" w:hAnsi="Times New Roman" w:cs="Times New Roman"/>
          <w:sz w:val="24"/>
          <w:szCs w:val="24"/>
        </w:rPr>
        <w:t>ogy of Pierce’s disease (Feil and Purcell</w:t>
      </w:r>
      <w:r w:rsidRPr="005D5223">
        <w:rPr>
          <w:rFonts w:ascii="Times New Roman" w:hAnsi="Times New Roman" w:cs="Times New Roman"/>
          <w:sz w:val="24"/>
          <w:szCs w:val="24"/>
        </w:rPr>
        <w:t xml:space="preserve"> 2001).</w:t>
      </w:r>
    </w:p>
    <w:p w14:paraId="50C6B472" w14:textId="77777777" w:rsidR="00F22637" w:rsidRPr="005D5223" w:rsidRDefault="00F22637" w:rsidP="00F22637">
      <w:pPr>
        <w:jc w:val="both"/>
        <w:rPr>
          <w:rFonts w:ascii="Times New Roman" w:hAnsi="Times New Roman" w:cs="Times New Roman"/>
          <w:sz w:val="24"/>
          <w:szCs w:val="24"/>
        </w:rPr>
      </w:pPr>
      <w:r w:rsidRPr="005D5223">
        <w:rPr>
          <w:rFonts w:ascii="Times New Roman" w:hAnsi="Times New Roman" w:cs="Times New Roman"/>
          <w:sz w:val="24"/>
          <w:szCs w:val="24"/>
        </w:rPr>
        <w:t>In this context, data from this reference was used to fit a growth curve, with optimum temperature of 28°C</w:t>
      </w:r>
      <w:r>
        <w:rPr>
          <w:rFonts w:ascii="Times New Roman" w:hAnsi="Times New Roman" w:cs="Times New Roman"/>
          <w:sz w:val="24"/>
          <w:szCs w:val="24"/>
        </w:rPr>
        <w:t xml:space="preserve"> (Figure 2)</w:t>
      </w:r>
      <w:r w:rsidRPr="005D5223">
        <w:rPr>
          <w:rFonts w:ascii="Times New Roman" w:hAnsi="Times New Roman" w:cs="Times New Roman"/>
          <w:sz w:val="24"/>
          <w:szCs w:val="24"/>
        </w:rPr>
        <w:t>. This growth curve was rescaled as a relative suitability between 0 (lowest) and 1 (highest)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F8C795" w14:textId="77777777" w:rsidR="00F22637" w:rsidRPr="005D5223" w:rsidRDefault="00F22637" w:rsidP="00F22637">
      <w:pPr>
        <w:jc w:val="both"/>
        <w:rPr>
          <w:rFonts w:ascii="Times New Roman" w:hAnsi="Times New Roman" w:cs="Times New Roman"/>
          <w:sz w:val="24"/>
          <w:szCs w:val="24"/>
        </w:rPr>
      </w:pPr>
      <w:r w:rsidRPr="005D5223">
        <w:rPr>
          <w:rFonts w:ascii="Times New Roman" w:hAnsi="Times New Roman" w:cs="Times New Roman"/>
          <w:sz w:val="24"/>
          <w:szCs w:val="24"/>
        </w:rPr>
        <w:t xml:space="preserve">In order to map gradients of relative suitability in Europe and MENA countries in a very simple way, the curve above was used to calculate the relative suitability of the mean temperature of the warmest quarter (Bio10), considered a useful measure of growing season thermal regimes. If Bio10 is too low then </w:t>
      </w:r>
      <w:r w:rsidRPr="005D5223">
        <w:rPr>
          <w:rFonts w:ascii="Times New Roman" w:hAnsi="Times New Roman" w:cs="Times New Roman"/>
          <w:i/>
          <w:iCs/>
          <w:sz w:val="24"/>
          <w:szCs w:val="24"/>
        </w:rPr>
        <w:t xml:space="preserve">X. </w:t>
      </w:r>
      <w:proofErr w:type="spellStart"/>
      <w:r w:rsidRPr="005D5223">
        <w:rPr>
          <w:rFonts w:ascii="Times New Roman" w:hAnsi="Times New Roman" w:cs="Times New Roman"/>
          <w:i/>
          <w:iCs/>
          <w:sz w:val="24"/>
          <w:szCs w:val="24"/>
        </w:rPr>
        <w:t>fastidiosa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probably cannot grow well enough. If Bio10 is too high, then suitable thermal conditions may occur outside the warmest quarter, but there is likely to be significant heat stress.</w:t>
      </w:r>
    </w:p>
    <w:p w14:paraId="1A0D6F3B" w14:textId="77777777" w:rsidR="00F22637" w:rsidRPr="005D5223" w:rsidRDefault="00F22637" w:rsidP="00F22637">
      <w:pPr>
        <w:jc w:val="both"/>
        <w:rPr>
          <w:rFonts w:ascii="Times New Roman" w:hAnsi="Times New Roman" w:cs="Times New Roman"/>
          <w:sz w:val="24"/>
          <w:szCs w:val="24"/>
        </w:rPr>
      </w:pPr>
      <w:r w:rsidRPr="005D5223">
        <w:rPr>
          <w:rFonts w:ascii="Times New Roman" w:hAnsi="Times New Roman" w:cs="Times New Roman"/>
          <w:sz w:val="24"/>
          <w:szCs w:val="24"/>
        </w:rPr>
        <w:t xml:space="preserve">Rather than using air temperature, remote sensed </w:t>
      </w:r>
      <w:r w:rsidRPr="00F22637">
        <w:rPr>
          <w:rFonts w:ascii="Times New Roman" w:hAnsi="Times New Roman" w:cs="Times New Roman"/>
          <w:sz w:val="24"/>
          <w:szCs w:val="24"/>
        </w:rPr>
        <w:t>land surface temperatures</w:t>
      </w:r>
      <w:r w:rsidRPr="005D5223">
        <w:rPr>
          <w:rFonts w:ascii="Times New Roman" w:hAnsi="Times New Roman" w:cs="Times New Roman"/>
          <w:sz w:val="24"/>
          <w:szCs w:val="24"/>
        </w:rPr>
        <w:t xml:space="preserve"> were considered a better indicator of the temperatures </w:t>
      </w:r>
      <w:r w:rsidRPr="005D5223">
        <w:rPr>
          <w:rFonts w:ascii="Times New Roman" w:hAnsi="Times New Roman" w:cs="Times New Roman"/>
          <w:i/>
          <w:iCs/>
          <w:sz w:val="24"/>
          <w:szCs w:val="24"/>
        </w:rPr>
        <w:t xml:space="preserve">X. </w:t>
      </w:r>
      <w:proofErr w:type="spellStart"/>
      <w:r w:rsidRPr="005D5223">
        <w:rPr>
          <w:rFonts w:ascii="Times New Roman" w:hAnsi="Times New Roman" w:cs="Times New Roman"/>
          <w:i/>
          <w:iCs/>
          <w:sz w:val="24"/>
          <w:szCs w:val="24"/>
        </w:rPr>
        <w:t>fastidiosa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would be exposed to. Two regional Bio10 maps derived from the MODIS satellite were merged to give complete coverage of the Euro-MENA region:</w:t>
      </w:r>
    </w:p>
    <w:p w14:paraId="1070E495" w14:textId="77777777" w:rsidR="00F22637" w:rsidRPr="005D5223" w:rsidRDefault="00F22637" w:rsidP="00F22637">
      <w:pPr>
        <w:pStyle w:val="ListParagraph"/>
        <w:numPr>
          <w:ilvl w:val="0"/>
          <w:numId w:val="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5223">
        <w:rPr>
          <w:rFonts w:ascii="Times New Roman" w:hAnsi="Times New Roman" w:cs="Times New Roman"/>
          <w:sz w:val="24"/>
          <w:szCs w:val="24"/>
        </w:rPr>
        <w:t>EuroLST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layer at 250 m resolution from MOD11A1 V005 daily temperatures, aggregated to 5 km resolution and re-projected to a 0.05 degree long-</w:t>
      </w:r>
      <w:proofErr w:type="spellStart"/>
      <w:r w:rsidRPr="005D5223">
        <w:rPr>
          <w:rFonts w:ascii="Times New Roman" w:hAnsi="Times New Roman" w:cs="Times New Roman"/>
          <w:sz w:val="24"/>
          <w:szCs w:val="24"/>
        </w:rPr>
        <w:t>lat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grid (</w:t>
      </w:r>
      <w:hyperlink r:id="rId8" w:history="1">
        <w:r w:rsidRPr="005D5223">
          <w:rPr>
            <w:rStyle w:val="Hyperlink"/>
            <w:rFonts w:ascii="Times New Roman" w:hAnsi="Times New Roman" w:cs="Times New Roman"/>
            <w:sz w:val="24"/>
            <w:szCs w:val="24"/>
          </w:rPr>
          <w:t>http://www.mdpi.com/2072-4292/6/5/3822</w:t>
        </w:r>
      </w:hyperlink>
      <w:r w:rsidRPr="005D5223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55FDD9CE" w14:textId="77777777" w:rsidR="00F22637" w:rsidRPr="005D5223" w:rsidRDefault="00F22637" w:rsidP="00F22637">
      <w:pPr>
        <w:pStyle w:val="ListParagraph"/>
        <w:numPr>
          <w:ilvl w:val="0"/>
          <w:numId w:val="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223">
        <w:rPr>
          <w:rFonts w:ascii="Times New Roman" w:hAnsi="Times New Roman" w:cs="Times New Roman"/>
          <w:sz w:val="24"/>
          <w:szCs w:val="24"/>
        </w:rPr>
        <w:t>Tropical LST layer at 0.05 degree resolution from MOD11C3v5 monthly temperatures (</w:t>
      </w:r>
      <w:hyperlink r:id="rId9" w:history="1">
        <w:r w:rsidRPr="005D5223">
          <w:rPr>
            <w:rStyle w:val="Hyperlink"/>
            <w:rFonts w:ascii="Times New Roman" w:hAnsi="Times New Roman" w:cs="Times New Roman"/>
            <w:sz w:val="24"/>
            <w:szCs w:val="24"/>
          </w:rPr>
          <w:t>https://onlinelibrary.wiley.com/doi/abs/10.1111/geb.12426</w:t>
        </w:r>
      </w:hyperlink>
      <w:r w:rsidRPr="005D5223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06999E17" w14:textId="77777777" w:rsidR="00F22637" w:rsidRPr="005D5223" w:rsidRDefault="00F22637" w:rsidP="00F22637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E527B32" w14:textId="77777777" w:rsidR="00F22637" w:rsidRDefault="00F22637" w:rsidP="00F22637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D5223">
        <w:rPr>
          <w:rFonts w:ascii="Times New Roman" w:hAnsi="Times New Roman" w:cs="Times New Roman"/>
          <w:sz w:val="24"/>
          <w:szCs w:val="24"/>
        </w:rPr>
        <w:lastRenderedPageBreak/>
        <w:t xml:space="preserve">The layers were merged giving preference to the </w:t>
      </w:r>
      <w:proofErr w:type="spellStart"/>
      <w:r w:rsidRPr="005D5223">
        <w:rPr>
          <w:rFonts w:ascii="Times New Roman" w:hAnsi="Times New Roman" w:cs="Times New Roman"/>
          <w:sz w:val="24"/>
          <w:szCs w:val="24"/>
        </w:rPr>
        <w:t>EuroLST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layer. To make the best merge, the tropical layer was ‘corrected’ for its relationship to the </w:t>
      </w:r>
      <w:proofErr w:type="spellStart"/>
      <w:r w:rsidRPr="005D5223">
        <w:rPr>
          <w:rFonts w:ascii="Times New Roman" w:hAnsi="Times New Roman" w:cs="Times New Roman"/>
          <w:sz w:val="24"/>
          <w:szCs w:val="24"/>
        </w:rPr>
        <w:t>EuroLST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layer according to a linear regression fitted to values from the overlap of the two layers (</w:t>
      </w:r>
      <w:proofErr w:type="spellStart"/>
      <w:r w:rsidRPr="005D5223">
        <w:rPr>
          <w:rFonts w:ascii="Times New Roman" w:hAnsi="Times New Roman" w:cs="Times New Roman"/>
          <w:sz w:val="24"/>
          <w:szCs w:val="24"/>
        </w:rPr>
        <w:t>EuroLST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= 1.923 + 0.930 </w:t>
      </w:r>
      <w:proofErr w:type="spellStart"/>
      <w:r w:rsidRPr="005D5223">
        <w:rPr>
          <w:rFonts w:ascii="Times New Roman" w:hAnsi="Times New Roman" w:cs="Times New Roman"/>
          <w:sz w:val="24"/>
          <w:szCs w:val="24"/>
        </w:rPr>
        <w:t>TropicsLST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>, R</w:t>
      </w:r>
      <w:r w:rsidRPr="005D522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D5223">
        <w:rPr>
          <w:rFonts w:ascii="Times New Roman" w:hAnsi="Times New Roman" w:cs="Times New Roman"/>
          <w:sz w:val="24"/>
          <w:szCs w:val="24"/>
        </w:rPr>
        <w:t xml:space="preserve"> = 0.983)</w:t>
      </w:r>
      <w:r>
        <w:rPr>
          <w:rFonts w:ascii="Times New Roman" w:hAnsi="Times New Roman" w:cs="Times New Roman"/>
          <w:sz w:val="24"/>
          <w:szCs w:val="24"/>
        </w:rPr>
        <w:t xml:space="preserve"> (Figure 2a)</w:t>
      </w:r>
      <w:r w:rsidRPr="005D5223">
        <w:rPr>
          <w:rFonts w:ascii="Times New Roman" w:hAnsi="Times New Roman" w:cs="Times New Roman"/>
          <w:sz w:val="24"/>
          <w:szCs w:val="24"/>
        </w:rPr>
        <w:t>.</w:t>
      </w:r>
    </w:p>
    <w:p w14:paraId="4D4D18C3" w14:textId="77777777" w:rsidR="00F22637" w:rsidRDefault="00F22637" w:rsidP="00F22637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1BBC463" w14:textId="349BDDCD" w:rsidR="00F22637" w:rsidRDefault="00F22637" w:rsidP="00F22637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relative growth curve (Figure S1) was then used to convert summer mean temperature into an </w:t>
      </w:r>
      <w:proofErr w:type="spellStart"/>
      <w:r w:rsidRPr="0005509F">
        <w:rPr>
          <w:rFonts w:ascii="Times New Roman" w:hAnsi="Times New Roman" w:cs="Times New Roman"/>
          <w:i/>
          <w:sz w:val="24"/>
          <w:szCs w:val="24"/>
        </w:rPr>
        <w:t>Xf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growth potential (Figure 2b). Areas of southern Europe with major outbreaks (ITA, ESP, and FRA) all fell in regions with high predicted relative growth potential.</w:t>
      </w:r>
    </w:p>
    <w:p w14:paraId="3B69D1BF" w14:textId="77777777" w:rsidR="00F22637" w:rsidRPr="005D5223" w:rsidRDefault="00F22637" w:rsidP="00F22637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5A066AC" w14:textId="77777777" w:rsidR="00F22637" w:rsidRDefault="00F22637" w:rsidP="00F22637">
      <w:pPr>
        <w:jc w:val="both"/>
        <w:rPr>
          <w:rFonts w:ascii="Times New Roman" w:hAnsi="Times New Roman" w:cs="Times New Roman"/>
          <w:sz w:val="24"/>
          <w:szCs w:val="24"/>
        </w:rPr>
      </w:pPr>
      <w:r w:rsidRPr="005D5223">
        <w:rPr>
          <w:rFonts w:ascii="Times New Roman" w:hAnsi="Times New Roman" w:cs="Times New Roman"/>
          <w:sz w:val="24"/>
          <w:szCs w:val="24"/>
        </w:rPr>
        <w:t xml:space="preserve">The risk indicator accounted for spatial correlation between climatic suitability and the distribution of high risk habitats able to support </w:t>
      </w:r>
      <w:proofErr w:type="spellStart"/>
      <w:r w:rsidRPr="0005509F">
        <w:rPr>
          <w:rFonts w:ascii="Times New Roman" w:hAnsi="Times New Roman" w:cs="Times New Roman"/>
          <w:i/>
          <w:sz w:val="24"/>
          <w:szCs w:val="24"/>
        </w:rPr>
        <w:t>Xf</w:t>
      </w:r>
      <w:proofErr w:type="spellEnd"/>
      <w:r w:rsidRPr="005D5223">
        <w:rPr>
          <w:rFonts w:ascii="Times New Roman" w:hAnsi="Times New Roman" w:cs="Times New Roman"/>
          <w:sz w:val="24"/>
          <w:szCs w:val="24"/>
        </w:rPr>
        <w:t xml:space="preserve"> (e.g. in North African countries agricultural production co-occurs with suitable climate, while the majority of the country is climatically unsuitable desert)</w:t>
      </w:r>
      <w:r>
        <w:rPr>
          <w:rFonts w:ascii="Times New Roman" w:hAnsi="Times New Roman" w:cs="Times New Roman"/>
          <w:sz w:val="24"/>
          <w:szCs w:val="24"/>
        </w:rPr>
        <w:t xml:space="preserve"> (Figure 2c)</w:t>
      </w:r>
      <w:r w:rsidRPr="005D522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As such, t</w:t>
      </w:r>
      <w:r w:rsidRPr="005D5223">
        <w:rPr>
          <w:rFonts w:ascii="Times New Roman" w:hAnsi="Times New Roman" w:cs="Times New Roman"/>
          <w:sz w:val="24"/>
          <w:szCs w:val="24"/>
        </w:rPr>
        <w:t>he risk indicator represented the proportion of high risk habitats that are climatically suitable, calculated as the mean suitability weighted by cover of the high risk habitat</w:t>
      </w:r>
      <w:r>
        <w:rPr>
          <w:rFonts w:ascii="Times New Roman" w:hAnsi="Times New Roman" w:cs="Times New Roman"/>
          <w:sz w:val="24"/>
          <w:szCs w:val="24"/>
        </w:rPr>
        <w:t xml:space="preserve"> (Figure 2d)</w:t>
      </w:r>
      <w:r w:rsidRPr="005D522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5223">
        <w:rPr>
          <w:rFonts w:ascii="Times New Roman" w:hAnsi="Times New Roman" w:cs="Times New Roman"/>
          <w:sz w:val="24"/>
          <w:szCs w:val="24"/>
        </w:rPr>
        <w:t>The cover of high risk habitats (cropland, tree cover and urban areas) was obtained from the GLC-SHARE global land cover product (</w:t>
      </w:r>
      <w:hyperlink r:id="rId10" w:history="1">
        <w:r w:rsidRPr="005D5223">
          <w:rPr>
            <w:rStyle w:val="Hyperlink"/>
            <w:rFonts w:ascii="Times New Roman" w:hAnsi="Times New Roman" w:cs="Times New Roman"/>
            <w:sz w:val="24"/>
            <w:szCs w:val="24"/>
          </w:rPr>
          <w:t>http://www.fao.org/uploads/media/glc-share-doc.pdf</w:t>
        </w:r>
      </w:hyperlink>
      <w:r w:rsidRPr="005D5223">
        <w:rPr>
          <w:rFonts w:ascii="Times New Roman" w:hAnsi="Times New Roman" w:cs="Times New Roman"/>
          <w:sz w:val="24"/>
          <w:szCs w:val="24"/>
        </w:rPr>
        <w:t>) aggregated to 0.05 degree resolution.</w:t>
      </w:r>
    </w:p>
    <w:p w14:paraId="558FCFF7" w14:textId="77777777" w:rsidR="00F22637" w:rsidRDefault="00F22637" w:rsidP="00F226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2A1DC3" w14:textId="33F7114E" w:rsidR="00F22637" w:rsidRPr="0005509F" w:rsidRDefault="00F22637" w:rsidP="00F22637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02775D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BD0A98">
        <w:rPr>
          <w:rFonts w:ascii="Times New Roman" w:hAnsi="Times New Roman" w:cs="Times New Roman"/>
          <w:b/>
          <w:sz w:val="24"/>
          <w:szCs w:val="24"/>
        </w:rPr>
        <w:t>S</w:t>
      </w:r>
      <w:r w:rsidRPr="0002775D">
        <w:rPr>
          <w:rFonts w:ascii="Times New Roman" w:hAnsi="Times New Roman" w:cs="Times New Roman"/>
          <w:b/>
          <w:sz w:val="24"/>
          <w:szCs w:val="24"/>
        </w:rPr>
        <w:t>2:</w:t>
      </w:r>
      <w:r>
        <w:rPr>
          <w:rFonts w:ascii="Times New Roman" w:hAnsi="Times New Roman" w:cs="Times New Roman"/>
          <w:sz w:val="24"/>
          <w:szCs w:val="24"/>
        </w:rPr>
        <w:t xml:space="preserve"> (a) Mean land surface temperature of the warmest quarter, as a measure of growing season thermal regime. (b) Conversion of temperature into relative </w:t>
      </w:r>
      <w:proofErr w:type="spellStart"/>
      <w:r w:rsidRPr="0005509F">
        <w:rPr>
          <w:rFonts w:ascii="Times New Roman" w:hAnsi="Times New Roman" w:cs="Times New Roman"/>
          <w:i/>
          <w:sz w:val="24"/>
          <w:szCs w:val="24"/>
        </w:rPr>
        <w:t>Xf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growth potential, using a normalized version of the growth curve (Figure 1). (c) Proportion cover of vulnerable habitats to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Xf</w:t>
      </w:r>
      <w:proofErr w:type="spellEnd"/>
      <w:r w:rsidRPr="0005509F">
        <w:rPr>
          <w:rFonts w:ascii="Times New Roman" w:hAnsi="Times New Roman" w:cs="Times New Roman"/>
          <w:sz w:val="24"/>
          <w:szCs w:val="24"/>
        </w:rPr>
        <w:t xml:space="preserve"> invasion</w:t>
      </w:r>
      <w:r>
        <w:rPr>
          <w:rFonts w:ascii="Times New Roman" w:hAnsi="Times New Roman" w:cs="Times New Roman"/>
          <w:sz w:val="24"/>
          <w:szCs w:val="24"/>
        </w:rPr>
        <w:t xml:space="preserve">, based on land cover. (d) Climate risk per country, </w:t>
      </w:r>
      <w:r w:rsidRPr="005D5223">
        <w:rPr>
          <w:rFonts w:ascii="Times New Roman" w:hAnsi="Times New Roman" w:cs="Times New Roman"/>
          <w:sz w:val="24"/>
          <w:szCs w:val="24"/>
        </w:rPr>
        <w:t xml:space="preserve">calculated as the mean </w:t>
      </w:r>
      <w:r>
        <w:rPr>
          <w:rFonts w:ascii="Times New Roman" w:hAnsi="Times New Roman" w:cs="Times New Roman"/>
          <w:sz w:val="24"/>
          <w:szCs w:val="24"/>
        </w:rPr>
        <w:t>growth potential</w:t>
      </w:r>
      <w:r w:rsidRPr="005D5223">
        <w:rPr>
          <w:rFonts w:ascii="Times New Roman" w:hAnsi="Times New Roman" w:cs="Times New Roman"/>
          <w:sz w:val="24"/>
          <w:szCs w:val="24"/>
        </w:rPr>
        <w:t xml:space="preserve"> weighted by cover of the </w:t>
      </w:r>
      <w:r>
        <w:rPr>
          <w:rFonts w:ascii="Times New Roman" w:hAnsi="Times New Roman" w:cs="Times New Roman"/>
          <w:sz w:val="24"/>
          <w:szCs w:val="24"/>
        </w:rPr>
        <w:t xml:space="preserve">vulnerable </w:t>
      </w:r>
      <w:r w:rsidRPr="005D5223">
        <w:rPr>
          <w:rFonts w:ascii="Times New Roman" w:hAnsi="Times New Roman" w:cs="Times New Roman"/>
          <w:sz w:val="24"/>
          <w:szCs w:val="24"/>
        </w:rPr>
        <w:t>habitat</w:t>
      </w:r>
      <w:r>
        <w:rPr>
          <w:rFonts w:ascii="Times New Roman" w:hAnsi="Times New Roman" w:cs="Times New Roman"/>
          <w:sz w:val="24"/>
          <w:szCs w:val="24"/>
        </w:rPr>
        <w:t>. All maps are shown in WGS84 projection.</w:t>
      </w:r>
    </w:p>
    <w:p w14:paraId="2FC46BF3" w14:textId="508361B0" w:rsidR="00F22637" w:rsidRPr="005D5223" w:rsidRDefault="00F22637" w:rsidP="00F226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94C93B" wp14:editId="590283B3">
            <wp:extent cx="6467475" cy="5191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3D6C7" w14:textId="166450F9" w:rsidR="00D86049" w:rsidRPr="00F22637" w:rsidRDefault="00D86049" w:rsidP="008C6CB3">
      <w:pPr>
        <w:jc w:val="both"/>
        <w:rPr>
          <w:rFonts w:asciiTheme="majorBidi" w:hAnsiTheme="majorBidi" w:cstheme="majorBidi"/>
          <w:sz w:val="24"/>
          <w:szCs w:val="24"/>
        </w:rPr>
      </w:pPr>
    </w:p>
    <w:sectPr w:rsidR="00D86049" w:rsidRPr="00F22637" w:rsidSect="00F34A34">
      <w:footerReference w:type="default" r:id="rId12"/>
      <w:pgSz w:w="11907" w:h="16839" w:code="9"/>
      <w:pgMar w:top="720" w:right="576" w:bottom="576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C53C3E" w14:textId="77777777" w:rsidR="00E433F0" w:rsidRDefault="00E433F0" w:rsidP="0022504D">
      <w:pPr>
        <w:spacing w:after="0" w:line="240" w:lineRule="auto"/>
      </w:pPr>
      <w:r>
        <w:separator/>
      </w:r>
    </w:p>
  </w:endnote>
  <w:endnote w:type="continuationSeparator" w:id="0">
    <w:p w14:paraId="2AD6783D" w14:textId="77777777" w:rsidR="00E433F0" w:rsidRDefault="00E433F0" w:rsidP="00225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Bidi" w:hAnsiTheme="majorBidi" w:cstheme="majorBidi"/>
      </w:rPr>
      <w:id w:val="1258944874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Bidi" w:hAnsiTheme="majorBidi" w:cstheme="majorBidi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3AA377E0" w14:textId="385C35B0" w:rsidR="00A72B8B" w:rsidRPr="0022504D" w:rsidRDefault="00A72B8B" w:rsidP="0022504D">
            <w:pPr>
              <w:pStyle w:val="Footer"/>
              <w:jc w:val="center"/>
              <w:rPr>
                <w:rFonts w:asciiTheme="majorBidi" w:hAnsiTheme="majorBidi" w:cstheme="majorBidi"/>
              </w:rPr>
            </w:pPr>
            <w:r w:rsidRPr="0022504D">
              <w:rPr>
                <w:rFonts w:asciiTheme="majorBidi" w:hAnsiTheme="majorBidi" w:cstheme="majorBidi"/>
              </w:rPr>
              <w:t xml:space="preserve">Page 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begin"/>
            </w:r>
            <w:r w:rsidRPr="0022504D">
              <w:rPr>
                <w:rFonts w:asciiTheme="majorBidi" w:hAnsiTheme="majorBidi" w:cstheme="majorBidi"/>
                <w:b/>
                <w:bCs/>
              </w:rPr>
              <w:instrText xml:space="preserve"> PAGE </w:instrTex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separate"/>
            </w:r>
            <w:r w:rsidR="00F22637">
              <w:rPr>
                <w:rFonts w:asciiTheme="majorBidi" w:hAnsiTheme="majorBidi" w:cstheme="majorBidi"/>
                <w:b/>
                <w:bCs/>
                <w:noProof/>
              </w:rPr>
              <w:t>1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end"/>
            </w:r>
            <w:r w:rsidRPr="0022504D">
              <w:rPr>
                <w:rFonts w:asciiTheme="majorBidi" w:hAnsiTheme="majorBidi" w:cstheme="majorBidi"/>
              </w:rPr>
              <w:t xml:space="preserve"> of 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begin"/>
            </w:r>
            <w:r w:rsidRPr="0022504D">
              <w:rPr>
                <w:rFonts w:asciiTheme="majorBidi" w:hAnsiTheme="majorBidi" w:cstheme="majorBidi"/>
                <w:b/>
                <w:bCs/>
              </w:rPr>
              <w:instrText xml:space="preserve"> NUMPAGES  </w:instrTex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separate"/>
            </w:r>
            <w:r w:rsidR="00F22637">
              <w:rPr>
                <w:rFonts w:asciiTheme="majorBidi" w:hAnsiTheme="majorBidi" w:cstheme="majorBidi"/>
                <w:b/>
                <w:bCs/>
                <w:noProof/>
              </w:rPr>
              <w:t>3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27E8DE" w14:textId="77777777" w:rsidR="00E433F0" w:rsidRDefault="00E433F0" w:rsidP="0022504D">
      <w:pPr>
        <w:spacing w:after="0" w:line="240" w:lineRule="auto"/>
      </w:pPr>
      <w:r>
        <w:separator/>
      </w:r>
    </w:p>
  </w:footnote>
  <w:footnote w:type="continuationSeparator" w:id="0">
    <w:p w14:paraId="0814F315" w14:textId="77777777" w:rsidR="00E433F0" w:rsidRDefault="00E433F0" w:rsidP="002250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626363"/>
    <w:multiLevelType w:val="hybridMultilevel"/>
    <w:tmpl w:val="BDA604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C41E54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35605260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4AE31FBF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4E6C549D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62EC3F92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6A5E6B2B"/>
    <w:multiLevelType w:val="hybridMultilevel"/>
    <w:tmpl w:val="9CCA860C"/>
    <w:lvl w:ilvl="0" w:tplc="F6582B7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FF85F48"/>
    <w:multiLevelType w:val="hybridMultilevel"/>
    <w:tmpl w:val="95E2A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C31FAC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8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AMB_styl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rdddp0bf52sbexpsbpdz2qz502000pdpfp&quot;&gt;My EndNote Library2222&lt;record-ids&gt;&lt;item&gt;346&lt;/item&gt;&lt;/record-ids&gt;&lt;/item&gt;&lt;/Libraries&gt;"/>
  </w:docVars>
  <w:rsids>
    <w:rsidRoot w:val="00B03B07"/>
    <w:rsid w:val="0001555D"/>
    <w:rsid w:val="000679E6"/>
    <w:rsid w:val="00082121"/>
    <w:rsid w:val="000864DF"/>
    <w:rsid w:val="000A7FB4"/>
    <w:rsid w:val="000B658E"/>
    <w:rsid w:val="000C57DC"/>
    <w:rsid w:val="0011763C"/>
    <w:rsid w:val="00123468"/>
    <w:rsid w:val="001358D2"/>
    <w:rsid w:val="001401B7"/>
    <w:rsid w:val="0018036A"/>
    <w:rsid w:val="001A1538"/>
    <w:rsid w:val="001B5B6D"/>
    <w:rsid w:val="001C01BE"/>
    <w:rsid w:val="001F66BC"/>
    <w:rsid w:val="00205D21"/>
    <w:rsid w:val="0022504D"/>
    <w:rsid w:val="00234249"/>
    <w:rsid w:val="002429F0"/>
    <w:rsid w:val="00271485"/>
    <w:rsid w:val="0027231A"/>
    <w:rsid w:val="002772B9"/>
    <w:rsid w:val="0028257D"/>
    <w:rsid w:val="002B465D"/>
    <w:rsid w:val="002B57C3"/>
    <w:rsid w:val="002B6EED"/>
    <w:rsid w:val="002D0298"/>
    <w:rsid w:val="002D28B9"/>
    <w:rsid w:val="0034756C"/>
    <w:rsid w:val="00347CBC"/>
    <w:rsid w:val="00347DF3"/>
    <w:rsid w:val="00366732"/>
    <w:rsid w:val="00381A60"/>
    <w:rsid w:val="00386FBD"/>
    <w:rsid w:val="00394F62"/>
    <w:rsid w:val="003A4118"/>
    <w:rsid w:val="003A66EE"/>
    <w:rsid w:val="003B5EE3"/>
    <w:rsid w:val="003C3251"/>
    <w:rsid w:val="003F1F42"/>
    <w:rsid w:val="003F42D7"/>
    <w:rsid w:val="003F6EB9"/>
    <w:rsid w:val="00414B29"/>
    <w:rsid w:val="004167EF"/>
    <w:rsid w:val="00422A92"/>
    <w:rsid w:val="00473F6D"/>
    <w:rsid w:val="00477AAF"/>
    <w:rsid w:val="004B2CE1"/>
    <w:rsid w:val="004B4A3C"/>
    <w:rsid w:val="004D486F"/>
    <w:rsid w:val="005126F2"/>
    <w:rsid w:val="00514FA7"/>
    <w:rsid w:val="00525480"/>
    <w:rsid w:val="00525DA4"/>
    <w:rsid w:val="00532410"/>
    <w:rsid w:val="0053329F"/>
    <w:rsid w:val="00541B61"/>
    <w:rsid w:val="00554863"/>
    <w:rsid w:val="005828D7"/>
    <w:rsid w:val="00583798"/>
    <w:rsid w:val="005948FA"/>
    <w:rsid w:val="005A0761"/>
    <w:rsid w:val="005A6444"/>
    <w:rsid w:val="005B20D7"/>
    <w:rsid w:val="005B24A6"/>
    <w:rsid w:val="005C76D7"/>
    <w:rsid w:val="005D00F1"/>
    <w:rsid w:val="005D00FE"/>
    <w:rsid w:val="005D03CB"/>
    <w:rsid w:val="005D0A4A"/>
    <w:rsid w:val="005D695E"/>
    <w:rsid w:val="005E090E"/>
    <w:rsid w:val="005E3A88"/>
    <w:rsid w:val="005F366B"/>
    <w:rsid w:val="00634FFE"/>
    <w:rsid w:val="0064691D"/>
    <w:rsid w:val="006524FC"/>
    <w:rsid w:val="00653F1B"/>
    <w:rsid w:val="00655C33"/>
    <w:rsid w:val="006B3B71"/>
    <w:rsid w:val="006C6DC5"/>
    <w:rsid w:val="006D0392"/>
    <w:rsid w:val="006E29E5"/>
    <w:rsid w:val="006F1AFB"/>
    <w:rsid w:val="00742779"/>
    <w:rsid w:val="00752DE7"/>
    <w:rsid w:val="0076660C"/>
    <w:rsid w:val="00787F99"/>
    <w:rsid w:val="00796629"/>
    <w:rsid w:val="007A293F"/>
    <w:rsid w:val="007A5D24"/>
    <w:rsid w:val="007A729C"/>
    <w:rsid w:val="007E30C6"/>
    <w:rsid w:val="007F30D1"/>
    <w:rsid w:val="007F4DB0"/>
    <w:rsid w:val="007F712F"/>
    <w:rsid w:val="008007B7"/>
    <w:rsid w:val="00805333"/>
    <w:rsid w:val="008149C0"/>
    <w:rsid w:val="00814FC7"/>
    <w:rsid w:val="0084746F"/>
    <w:rsid w:val="00852803"/>
    <w:rsid w:val="0085312E"/>
    <w:rsid w:val="00853BA1"/>
    <w:rsid w:val="008577C6"/>
    <w:rsid w:val="008615D5"/>
    <w:rsid w:val="008C6CB3"/>
    <w:rsid w:val="008F1463"/>
    <w:rsid w:val="008F3543"/>
    <w:rsid w:val="008F43EB"/>
    <w:rsid w:val="009032C7"/>
    <w:rsid w:val="009179DF"/>
    <w:rsid w:val="00946A55"/>
    <w:rsid w:val="0096504B"/>
    <w:rsid w:val="00967222"/>
    <w:rsid w:val="009919C8"/>
    <w:rsid w:val="009A11AB"/>
    <w:rsid w:val="009A2467"/>
    <w:rsid w:val="009B0176"/>
    <w:rsid w:val="009B7BDB"/>
    <w:rsid w:val="009E0445"/>
    <w:rsid w:val="009E2389"/>
    <w:rsid w:val="00A06009"/>
    <w:rsid w:val="00A100C8"/>
    <w:rsid w:val="00A26151"/>
    <w:rsid w:val="00A33892"/>
    <w:rsid w:val="00A72B8B"/>
    <w:rsid w:val="00A7675B"/>
    <w:rsid w:val="00A86B44"/>
    <w:rsid w:val="00A96EDE"/>
    <w:rsid w:val="00AA1B59"/>
    <w:rsid w:val="00AA613F"/>
    <w:rsid w:val="00AA7A39"/>
    <w:rsid w:val="00AB113C"/>
    <w:rsid w:val="00AB4ADB"/>
    <w:rsid w:val="00AB5E6E"/>
    <w:rsid w:val="00AC77B5"/>
    <w:rsid w:val="00AE0F8A"/>
    <w:rsid w:val="00AE31CD"/>
    <w:rsid w:val="00AF1018"/>
    <w:rsid w:val="00B03B07"/>
    <w:rsid w:val="00B05864"/>
    <w:rsid w:val="00B10821"/>
    <w:rsid w:val="00B17D36"/>
    <w:rsid w:val="00B22831"/>
    <w:rsid w:val="00B24450"/>
    <w:rsid w:val="00B41F70"/>
    <w:rsid w:val="00B42143"/>
    <w:rsid w:val="00B54B35"/>
    <w:rsid w:val="00B608FC"/>
    <w:rsid w:val="00B678E2"/>
    <w:rsid w:val="00B95EAE"/>
    <w:rsid w:val="00BB7696"/>
    <w:rsid w:val="00BD0A98"/>
    <w:rsid w:val="00BD6A7E"/>
    <w:rsid w:val="00BE6ED3"/>
    <w:rsid w:val="00C01AF2"/>
    <w:rsid w:val="00C10DA5"/>
    <w:rsid w:val="00C15A30"/>
    <w:rsid w:val="00C2202B"/>
    <w:rsid w:val="00C2293D"/>
    <w:rsid w:val="00C264CA"/>
    <w:rsid w:val="00C412D7"/>
    <w:rsid w:val="00C550D1"/>
    <w:rsid w:val="00C621FD"/>
    <w:rsid w:val="00C70B1A"/>
    <w:rsid w:val="00C80021"/>
    <w:rsid w:val="00C817D5"/>
    <w:rsid w:val="00C86240"/>
    <w:rsid w:val="00C868BA"/>
    <w:rsid w:val="00CB04DD"/>
    <w:rsid w:val="00CB33C9"/>
    <w:rsid w:val="00CB65F2"/>
    <w:rsid w:val="00CB73BD"/>
    <w:rsid w:val="00CC2064"/>
    <w:rsid w:val="00CF0E63"/>
    <w:rsid w:val="00D00F03"/>
    <w:rsid w:val="00D152AB"/>
    <w:rsid w:val="00D328F9"/>
    <w:rsid w:val="00D37185"/>
    <w:rsid w:val="00D52C46"/>
    <w:rsid w:val="00D57843"/>
    <w:rsid w:val="00D76E6A"/>
    <w:rsid w:val="00D86049"/>
    <w:rsid w:val="00DB29B0"/>
    <w:rsid w:val="00DB413D"/>
    <w:rsid w:val="00DC3F22"/>
    <w:rsid w:val="00DD1F8B"/>
    <w:rsid w:val="00DD536C"/>
    <w:rsid w:val="00DF7FF7"/>
    <w:rsid w:val="00E4288E"/>
    <w:rsid w:val="00E433F0"/>
    <w:rsid w:val="00E5709E"/>
    <w:rsid w:val="00EB4896"/>
    <w:rsid w:val="00F03A3B"/>
    <w:rsid w:val="00F10B9D"/>
    <w:rsid w:val="00F1776B"/>
    <w:rsid w:val="00F20403"/>
    <w:rsid w:val="00F22637"/>
    <w:rsid w:val="00F34A34"/>
    <w:rsid w:val="00F50FF6"/>
    <w:rsid w:val="00F51D89"/>
    <w:rsid w:val="00F54528"/>
    <w:rsid w:val="00F62962"/>
    <w:rsid w:val="00F722E0"/>
    <w:rsid w:val="00F73F7C"/>
    <w:rsid w:val="00F847A2"/>
    <w:rsid w:val="00F87FA8"/>
    <w:rsid w:val="00F919FB"/>
    <w:rsid w:val="00F97F3F"/>
    <w:rsid w:val="00FA614B"/>
    <w:rsid w:val="00FB3848"/>
    <w:rsid w:val="00FB3B75"/>
    <w:rsid w:val="00FC0D1A"/>
    <w:rsid w:val="00FC52B5"/>
    <w:rsid w:val="00FD1629"/>
    <w:rsid w:val="00FE4D2B"/>
    <w:rsid w:val="00FF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33FAB"/>
  <w15:docId w15:val="{4D35B96C-CFF1-4FCC-B27C-96D3D0542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B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04D"/>
  </w:style>
  <w:style w:type="paragraph" w:styleId="Footer">
    <w:name w:val="footer"/>
    <w:basedOn w:val="Normal"/>
    <w:link w:val="Foot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04D"/>
  </w:style>
  <w:style w:type="character" w:styleId="Hyperlink">
    <w:name w:val="Hyperlink"/>
    <w:basedOn w:val="DefaultParagraphFont"/>
    <w:uiPriority w:val="99"/>
    <w:unhideWhenUsed/>
    <w:rsid w:val="005E3A8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29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29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29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29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293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9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93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B4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96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96EDE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BB7696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B7696"/>
    <w:rPr>
      <w:rFonts w:ascii="Calibri" w:hAnsi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8F3543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3543"/>
    <w:rPr>
      <w:rFonts w:ascii="Calibri" w:hAnsi="Calibri"/>
      <w:noProof/>
    </w:rPr>
  </w:style>
  <w:style w:type="character" w:styleId="PlaceholderText">
    <w:name w:val="Placeholder Text"/>
    <w:basedOn w:val="DefaultParagraphFont"/>
    <w:uiPriority w:val="99"/>
    <w:semiHidden/>
    <w:rsid w:val="00D8604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07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521157"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34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92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43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42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9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dpi.com/2072-4292/6/5/382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0" Type="http://schemas.openxmlformats.org/officeDocument/2006/relationships/hyperlink" Target="http://www.fao.org/uploads/media/glc-share-doc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nlinelibrary.wiley.com/doi/abs/10.1111/geb.12426" TargetMode="Externa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cha\OneDrive%20-%20NERC\CURE-XF\data\climate\Xf_temperature_respons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growth rate (k per hour)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Sheet1!$A$2:$A$12</c:f>
              <c:numCache>
                <c:formatCode>General</c:formatCode>
                <c:ptCount val="11"/>
                <c:pt idx="0">
                  <c:v>5</c:v>
                </c:pt>
                <c:pt idx="1">
                  <c:v>12</c:v>
                </c:pt>
                <c:pt idx="2">
                  <c:v>18</c:v>
                </c:pt>
                <c:pt idx="3">
                  <c:v>21</c:v>
                </c:pt>
                <c:pt idx="4">
                  <c:v>22</c:v>
                </c:pt>
                <c:pt idx="5">
                  <c:v>25</c:v>
                </c:pt>
                <c:pt idx="6">
                  <c:v>27</c:v>
                </c:pt>
                <c:pt idx="7">
                  <c:v>28</c:v>
                </c:pt>
                <c:pt idx="8">
                  <c:v>29</c:v>
                </c:pt>
                <c:pt idx="9">
                  <c:v>32</c:v>
                </c:pt>
                <c:pt idx="10">
                  <c:v>35</c:v>
                </c:pt>
              </c:numCache>
            </c:numRef>
          </c:xVal>
          <c:yVal>
            <c:numRef>
              <c:f>Sheet1!$B$2:$B$12</c:f>
              <c:numCache>
                <c:formatCode>General</c:formatCode>
                <c:ptCount val="11"/>
                <c:pt idx="0">
                  <c:v>0</c:v>
                </c:pt>
                <c:pt idx="1">
                  <c:v>1.6000000000000001E-3</c:v>
                </c:pt>
                <c:pt idx="2">
                  <c:v>0.04</c:v>
                </c:pt>
                <c:pt idx="3">
                  <c:v>6.6000000000000003E-2</c:v>
                </c:pt>
                <c:pt idx="4">
                  <c:v>8.1600000000000006E-2</c:v>
                </c:pt>
                <c:pt idx="5">
                  <c:v>0.105</c:v>
                </c:pt>
                <c:pt idx="6">
                  <c:v>0.1203</c:v>
                </c:pt>
                <c:pt idx="7">
                  <c:v>0.13500000000000001</c:v>
                </c:pt>
                <c:pt idx="8">
                  <c:v>0.12330000000000001</c:v>
                </c:pt>
                <c:pt idx="9">
                  <c:v>8.9399999999999993E-2</c:v>
                </c:pt>
                <c:pt idx="10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8309-4725-B2FC-C947CAE1BC33}"/>
            </c:ext>
          </c:extLst>
        </c:ser>
        <c:ser>
          <c:idx val="2"/>
          <c:order val="1"/>
          <c:tx>
            <c:v>fitted</c:v>
          </c:tx>
          <c:spPr>
            <a:ln w="25400" cap="rnd">
              <a:solidFill>
                <a:schemeClr val="bg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Sheet1!$J$2:$J$37</c:f>
              <c:numCache>
                <c:formatCode>General</c:formatCode>
                <c:ptCount val="36"/>
                <c:pt idx="0">
                  <c:v>5</c:v>
                </c:pt>
                <c:pt idx="1">
                  <c:v>6</c:v>
                </c:pt>
                <c:pt idx="2">
                  <c:v>7</c:v>
                </c:pt>
                <c:pt idx="3">
                  <c:v>8</c:v>
                </c:pt>
                <c:pt idx="4">
                  <c:v>9</c:v>
                </c:pt>
                <c:pt idx="5">
                  <c:v>10</c:v>
                </c:pt>
                <c:pt idx="6">
                  <c:v>11</c:v>
                </c:pt>
                <c:pt idx="7">
                  <c:v>12</c:v>
                </c:pt>
                <c:pt idx="8">
                  <c:v>13</c:v>
                </c:pt>
                <c:pt idx="9">
                  <c:v>14</c:v>
                </c:pt>
                <c:pt idx="10">
                  <c:v>15</c:v>
                </c:pt>
                <c:pt idx="11">
                  <c:v>16</c:v>
                </c:pt>
                <c:pt idx="12">
                  <c:v>17</c:v>
                </c:pt>
                <c:pt idx="13">
                  <c:v>18</c:v>
                </c:pt>
                <c:pt idx="14">
                  <c:v>19</c:v>
                </c:pt>
                <c:pt idx="15">
                  <c:v>20</c:v>
                </c:pt>
                <c:pt idx="16">
                  <c:v>21</c:v>
                </c:pt>
                <c:pt idx="17">
                  <c:v>22</c:v>
                </c:pt>
                <c:pt idx="18">
                  <c:v>23</c:v>
                </c:pt>
                <c:pt idx="19">
                  <c:v>24</c:v>
                </c:pt>
                <c:pt idx="20">
                  <c:v>25</c:v>
                </c:pt>
                <c:pt idx="21">
                  <c:v>26</c:v>
                </c:pt>
                <c:pt idx="22">
                  <c:v>27</c:v>
                </c:pt>
                <c:pt idx="23">
                  <c:v>28</c:v>
                </c:pt>
                <c:pt idx="24">
                  <c:v>29</c:v>
                </c:pt>
                <c:pt idx="25">
                  <c:v>30</c:v>
                </c:pt>
                <c:pt idx="26">
                  <c:v>31</c:v>
                </c:pt>
                <c:pt idx="27">
                  <c:v>32</c:v>
                </c:pt>
                <c:pt idx="28">
                  <c:v>33</c:v>
                </c:pt>
                <c:pt idx="29">
                  <c:v>34</c:v>
                </c:pt>
                <c:pt idx="30">
                  <c:v>35</c:v>
                </c:pt>
                <c:pt idx="31">
                  <c:v>36</c:v>
                </c:pt>
                <c:pt idx="32">
                  <c:v>37</c:v>
                </c:pt>
                <c:pt idx="33">
                  <c:v>38</c:v>
                </c:pt>
                <c:pt idx="34">
                  <c:v>39</c:v>
                </c:pt>
                <c:pt idx="35">
                  <c:v>40</c:v>
                </c:pt>
              </c:numCache>
            </c:numRef>
          </c:xVal>
          <c:yVal>
            <c:numRef>
              <c:f>Sheet1!$K$2:$K$37</c:f>
              <c:numCache>
                <c:formatCode>General</c:formatCode>
                <c:ptCount val="3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1.3677179025311415E-7</c:v>
                </c:pt>
                <c:pt idx="4">
                  <c:v>5.5133068929966914E-5</c:v>
                </c:pt>
                <c:pt idx="5">
                  <c:v>3.8543943016215791E-4</c:v>
                </c:pt>
                <c:pt idx="6">
                  <c:v>1.2527313620029985E-3</c:v>
                </c:pt>
                <c:pt idx="7">
                  <c:v>2.9000115068501327E-3</c:v>
                </c:pt>
                <c:pt idx="8">
                  <c:v>5.5338287674427744E-3</c:v>
                </c:pt>
                <c:pt idx="9">
                  <c:v>9.3139438505217553E-3</c:v>
                </c:pt>
                <c:pt idx="10">
                  <c:v>1.4346353773144598E-2</c:v>
                </c:pt>
                <c:pt idx="11">
                  <c:v>2.0678285963180488E-2</c:v>
                </c:pt>
                <c:pt idx="12">
                  <c:v>2.8294531512387547E-2</c:v>
                </c:pt>
                <c:pt idx="13">
                  <c:v>3.7114791410655268E-2</c:v>
                </c:pt>
                <c:pt idx="14">
                  <c:v>4.6991859240230006E-2</c:v>
                </c:pt>
                <c:pt idx="15">
                  <c:v>5.7710550586831423E-2</c:v>
                </c:pt>
                <c:pt idx="16">
                  <c:v>6.8987348983471572E-2</c:v>
                </c:pt>
                <c:pt idx="17">
                  <c:v>8.0470787664152429E-2</c:v>
                </c:pt>
                <c:pt idx="18">
                  <c:v>9.174263656315447E-2</c:v>
                </c:pt>
                <c:pt idx="19">
                  <c:v>0.1023200246543281</c:v>
                </c:pt>
                <c:pt idx="20">
                  <c:v>0.11165871152291704</c:v>
                </c:pt>
                <c:pt idx="21">
                  <c:v>0.11915784947507756</c:v>
                </c:pt>
                <c:pt idx="22">
                  <c:v>0.12416678627508657</c:v>
                </c:pt>
                <c:pt idx="23">
                  <c:v>0.12599482489984445</c:v>
                </c:pt>
                <c:pt idx="24">
                  <c:v>0.12392554747634553</c:v>
                </c:pt>
                <c:pt idx="25">
                  <c:v>0.11723872848380884</c:v>
                </c:pt>
                <c:pt idx="26">
                  <c:v>0.10524610116500517</c:v>
                </c:pt>
                <c:pt idx="27">
                  <c:v>8.7355783478309079E-2</c:v>
                </c:pt>
                <c:pt idx="28">
                  <c:v>6.3207963978094958E-2</c:v>
                </c:pt>
                <c:pt idx="29">
                  <c:v>3.3053462588506832E-2</c:v>
                </c:pt>
                <c:pt idx="30">
                  <c:v>2.9861164097802966E-4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8309-4725-B2FC-C947CAE1BC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3869440"/>
        <c:axId val="123963264"/>
      </c:scatterChart>
      <c:valAx>
        <c:axId val="123869440"/>
        <c:scaling>
          <c:orientation val="minMax"/>
          <c:max val="4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Temperature</a:t>
                </a:r>
                <a:r>
                  <a:rPr lang="en-GB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(°C)</a:t>
                </a:r>
                <a:endParaRPr lang="en-GB" sz="12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963264"/>
        <c:crosses val="autoZero"/>
        <c:crossBetween val="midCat"/>
      </c:valAx>
      <c:valAx>
        <c:axId val="1239632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Specific growth rate (hr</a:t>
                </a:r>
                <a:r>
                  <a:rPr lang="en-GB" sz="1200" b="1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r>
                  <a:rPr lang="en-GB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1.0515247108307046E-2"/>
              <c:y val="0.1862850797496466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8694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624</Words>
  <Characters>3557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Monika B. Kumanska</cp:lastModifiedBy>
  <cp:revision>15</cp:revision>
  <cp:lastPrinted>2019-10-21T09:25:00Z</cp:lastPrinted>
  <dcterms:created xsi:type="dcterms:W3CDTF">2020-05-27T12:07:00Z</dcterms:created>
  <dcterms:modified xsi:type="dcterms:W3CDTF">2020-07-15T14:02:00Z</dcterms:modified>
</cp:coreProperties>
</file>