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550" w:rsidRPr="00165EAB" w:rsidRDefault="00BC1550" w:rsidP="00BC1550">
      <w:pPr>
        <w:pStyle w:val="Heading1"/>
        <w:rPr>
          <w:rFonts w:cs="Times New Roman"/>
          <w:szCs w:val="24"/>
        </w:rPr>
      </w:pPr>
      <w:r w:rsidRPr="00165EAB">
        <w:rPr>
          <w:rFonts w:cs="Times New Roman"/>
          <w:szCs w:val="24"/>
        </w:rPr>
        <w:t>Supplementary file S1: determining confidence in status assignment</w:t>
      </w:r>
    </w:p>
    <w:p w:rsidR="00BC1550" w:rsidRPr="00165EAB" w:rsidRDefault="00BC1550" w:rsidP="00BC1550">
      <w:pPr>
        <w:spacing w:line="480" w:lineRule="auto"/>
        <w:rPr>
          <w:rFonts w:ascii="Times New Roman" w:hAnsi="Times New Roman" w:cs="Times New Roman"/>
          <w:sz w:val="24"/>
          <w:szCs w:val="24"/>
        </w:rPr>
      </w:pPr>
      <w:r w:rsidRPr="00165EAB">
        <w:rPr>
          <w:rFonts w:ascii="Times New Roman" w:hAnsi="Times New Roman" w:cs="Times New Roman"/>
          <w:sz w:val="24"/>
          <w:szCs w:val="24"/>
        </w:rPr>
        <w:t>We constructed a simple index to quantify the confidence in the assignment of status (wild versus captive) of the red-eared slider turtle (</w:t>
      </w:r>
      <w:r w:rsidRPr="00165EAB">
        <w:rPr>
          <w:rFonts w:ascii="Times New Roman" w:hAnsi="Times New Roman" w:cs="Times New Roman"/>
          <w:i/>
          <w:sz w:val="24"/>
          <w:szCs w:val="24"/>
        </w:rPr>
        <w:t>Trachemys scripta elegans</w:t>
      </w:r>
      <w:r w:rsidRPr="00165EAB">
        <w:rPr>
          <w:rFonts w:ascii="Times New Roman" w:hAnsi="Times New Roman" w:cs="Times New Roman"/>
          <w:sz w:val="24"/>
          <w:szCs w:val="24"/>
        </w:rPr>
        <w:t>) samples. The original assigned status was compared to four characteristics and scored based on how many of these characteristics matched the original classification. These characteristics included:</w:t>
      </w:r>
    </w:p>
    <w:p w:rsidR="00BC1550" w:rsidRPr="00165EAB" w:rsidRDefault="00BC1550" w:rsidP="00BC1550">
      <w:pPr>
        <w:pStyle w:val="ListParagraph"/>
        <w:numPr>
          <w:ilvl w:val="0"/>
          <w:numId w:val="1"/>
        </w:numPr>
        <w:spacing w:line="480" w:lineRule="auto"/>
        <w:rPr>
          <w:rFonts w:ascii="Times New Roman" w:hAnsi="Times New Roman" w:cs="Times New Roman"/>
          <w:sz w:val="24"/>
          <w:szCs w:val="24"/>
        </w:rPr>
      </w:pPr>
      <w:r w:rsidRPr="00165EAB">
        <w:rPr>
          <w:rFonts w:ascii="Times New Roman" w:hAnsi="Times New Roman" w:cs="Times New Roman"/>
          <w:sz w:val="24"/>
          <w:szCs w:val="24"/>
        </w:rPr>
        <w:t>The state the turtle was originally found (</w:t>
      </w:r>
      <w:r w:rsidRPr="00165EAB">
        <w:rPr>
          <w:rFonts w:ascii="Times New Roman" w:hAnsi="Times New Roman" w:cs="Times New Roman"/>
          <w:i/>
          <w:sz w:val="24"/>
          <w:szCs w:val="24"/>
        </w:rPr>
        <w:t>s</w:t>
      </w:r>
      <w:r w:rsidRPr="00165EAB">
        <w:rPr>
          <w:rFonts w:ascii="Times New Roman" w:hAnsi="Times New Roman" w:cs="Times New Roman"/>
          <w:sz w:val="24"/>
          <w:szCs w:val="24"/>
        </w:rPr>
        <w:t xml:space="preserve">). A turtle seized from captive holding gives confidence of a captive status, wild could be either dumped pet or a dispersing wild turtle </w:t>
      </w:r>
      <w:r w:rsidRPr="00165EAB">
        <w:rPr>
          <w:rFonts w:ascii="Times New Roman" w:hAnsi="Times New Roman" w:cs="Times New Roman"/>
          <w:noProof/>
          <w:sz w:val="24"/>
          <w:szCs w:val="24"/>
        </w:rPr>
        <w:t>(Mo 2018)</w:t>
      </w:r>
    </w:p>
    <w:p w:rsidR="00BC1550" w:rsidRPr="00165EAB" w:rsidRDefault="00BC1550" w:rsidP="00BC1550">
      <w:pPr>
        <w:pStyle w:val="ListParagraph"/>
        <w:numPr>
          <w:ilvl w:val="0"/>
          <w:numId w:val="1"/>
        </w:numPr>
        <w:spacing w:line="480" w:lineRule="auto"/>
        <w:rPr>
          <w:rFonts w:ascii="Times New Roman" w:hAnsi="Times New Roman" w:cs="Times New Roman"/>
          <w:sz w:val="24"/>
          <w:szCs w:val="24"/>
        </w:rPr>
      </w:pPr>
      <w:r w:rsidRPr="00165EAB">
        <w:rPr>
          <w:rFonts w:ascii="Times New Roman" w:hAnsi="Times New Roman" w:cs="Times New Roman"/>
          <w:sz w:val="24"/>
          <w:szCs w:val="24"/>
        </w:rPr>
        <w:t>Source of information (</w:t>
      </w:r>
      <w:r w:rsidRPr="00165EAB">
        <w:rPr>
          <w:rFonts w:ascii="Times New Roman" w:hAnsi="Times New Roman" w:cs="Times New Roman"/>
          <w:i/>
          <w:sz w:val="24"/>
          <w:szCs w:val="24"/>
        </w:rPr>
        <w:t>i</w:t>
      </w:r>
      <w:r w:rsidRPr="00165EAB">
        <w:rPr>
          <w:rFonts w:ascii="Times New Roman" w:hAnsi="Times New Roman" w:cs="Times New Roman"/>
          <w:sz w:val="24"/>
          <w:szCs w:val="24"/>
        </w:rPr>
        <w:t>). If the turtle was handed in by a member of the public who states it was found in a “wild state”, they may be surrendering an illegally kept animal</w:t>
      </w:r>
    </w:p>
    <w:p w:rsidR="00BC1550" w:rsidRPr="00165EAB" w:rsidRDefault="00BC1550" w:rsidP="00BC1550">
      <w:pPr>
        <w:pStyle w:val="ListParagraph"/>
        <w:numPr>
          <w:ilvl w:val="0"/>
          <w:numId w:val="1"/>
        </w:numPr>
        <w:spacing w:line="480" w:lineRule="auto"/>
        <w:rPr>
          <w:rFonts w:ascii="Times New Roman" w:hAnsi="Times New Roman" w:cs="Times New Roman"/>
          <w:sz w:val="24"/>
          <w:szCs w:val="24"/>
        </w:rPr>
      </w:pPr>
      <w:r w:rsidRPr="00165EAB">
        <w:rPr>
          <w:rFonts w:ascii="Times New Roman" w:hAnsi="Times New Roman" w:cs="Times New Roman"/>
          <w:sz w:val="24"/>
          <w:szCs w:val="24"/>
        </w:rPr>
        <w:t>Condition of the carapace (</w:t>
      </w:r>
      <w:r w:rsidRPr="00165EAB">
        <w:rPr>
          <w:rFonts w:ascii="Times New Roman" w:hAnsi="Times New Roman" w:cs="Times New Roman"/>
          <w:i/>
          <w:sz w:val="24"/>
          <w:szCs w:val="24"/>
        </w:rPr>
        <w:t>c</w:t>
      </w:r>
      <w:r w:rsidRPr="00165EAB">
        <w:rPr>
          <w:rFonts w:ascii="Times New Roman" w:hAnsi="Times New Roman" w:cs="Times New Roman"/>
          <w:sz w:val="24"/>
          <w:szCs w:val="24"/>
        </w:rPr>
        <w:t xml:space="preserve">). Algae on scutes suggests the animal has been in a wild-state for a prolonged period due to a lack of chlorinated water </w:t>
      </w:r>
      <w:r w:rsidRPr="00165EAB">
        <w:rPr>
          <w:rFonts w:ascii="Times New Roman" w:hAnsi="Times New Roman" w:cs="Times New Roman"/>
          <w:noProof/>
          <w:sz w:val="24"/>
          <w:szCs w:val="24"/>
        </w:rPr>
        <w:t>(O'Keeffe 2005)</w:t>
      </w:r>
      <w:r w:rsidRPr="00165EAB">
        <w:rPr>
          <w:rFonts w:ascii="Times New Roman" w:hAnsi="Times New Roman" w:cs="Times New Roman"/>
          <w:sz w:val="24"/>
          <w:szCs w:val="24"/>
        </w:rPr>
        <w:t>.</w:t>
      </w:r>
    </w:p>
    <w:p w:rsidR="00BC1550" w:rsidRPr="00165EAB" w:rsidRDefault="00BC1550" w:rsidP="00BC1550">
      <w:pPr>
        <w:pStyle w:val="ListParagraph"/>
        <w:numPr>
          <w:ilvl w:val="0"/>
          <w:numId w:val="1"/>
        </w:numPr>
        <w:spacing w:line="480" w:lineRule="auto"/>
        <w:rPr>
          <w:rFonts w:ascii="Times New Roman" w:hAnsi="Times New Roman" w:cs="Times New Roman"/>
          <w:sz w:val="24"/>
          <w:szCs w:val="24"/>
        </w:rPr>
      </w:pPr>
      <w:r w:rsidRPr="00165EAB">
        <w:rPr>
          <w:rFonts w:ascii="Times New Roman" w:hAnsi="Times New Roman" w:cs="Times New Roman"/>
          <w:sz w:val="24"/>
          <w:szCs w:val="24"/>
        </w:rPr>
        <w:t>Found within 3 km of a known established population (</w:t>
      </w:r>
      <w:r w:rsidRPr="00165EAB">
        <w:rPr>
          <w:rFonts w:ascii="Times New Roman" w:hAnsi="Times New Roman" w:cs="Times New Roman"/>
          <w:i/>
          <w:sz w:val="24"/>
          <w:szCs w:val="24"/>
        </w:rPr>
        <w:t>l</w:t>
      </w:r>
      <w:r w:rsidRPr="00165EAB">
        <w:rPr>
          <w:rFonts w:ascii="Times New Roman" w:hAnsi="Times New Roman" w:cs="Times New Roman"/>
          <w:sz w:val="24"/>
          <w:szCs w:val="24"/>
        </w:rPr>
        <w:t xml:space="preserve">). This is the maximum recorded overland dispersal of </w:t>
      </w:r>
      <w:r w:rsidRPr="00165EAB">
        <w:rPr>
          <w:rFonts w:ascii="Times New Roman" w:hAnsi="Times New Roman" w:cs="Times New Roman"/>
          <w:i/>
          <w:sz w:val="24"/>
          <w:szCs w:val="24"/>
        </w:rPr>
        <w:t>T.s.elegans</w:t>
      </w:r>
      <w:r w:rsidRPr="00165EAB">
        <w:rPr>
          <w:rFonts w:ascii="Times New Roman" w:hAnsi="Times New Roman" w:cs="Times New Roman"/>
          <w:sz w:val="24"/>
          <w:szCs w:val="24"/>
        </w:rPr>
        <w:t xml:space="preserve"> outside of Australia, so turtles within this range may be a dispersing wild turtle </w:t>
      </w:r>
      <w:r w:rsidRPr="00165EAB">
        <w:rPr>
          <w:rFonts w:ascii="Times New Roman" w:hAnsi="Times New Roman" w:cs="Times New Roman"/>
          <w:noProof/>
          <w:sz w:val="24"/>
          <w:szCs w:val="24"/>
        </w:rPr>
        <w:t>(Mo 2018)</w:t>
      </w:r>
      <w:r w:rsidRPr="00165EAB">
        <w:rPr>
          <w:rFonts w:ascii="Times New Roman" w:hAnsi="Times New Roman" w:cs="Times New Roman"/>
          <w:sz w:val="24"/>
          <w:szCs w:val="24"/>
        </w:rPr>
        <w:t>.</w:t>
      </w:r>
    </w:p>
    <w:p w:rsidR="00BC1550" w:rsidRPr="00165EAB" w:rsidRDefault="00BC1550" w:rsidP="00BC1550">
      <w:pPr>
        <w:spacing w:line="480" w:lineRule="auto"/>
        <w:rPr>
          <w:rFonts w:ascii="Times New Roman" w:hAnsi="Times New Roman" w:cs="Times New Roman"/>
          <w:sz w:val="24"/>
          <w:szCs w:val="24"/>
        </w:rPr>
      </w:pPr>
      <w:r w:rsidRPr="00165EAB">
        <w:rPr>
          <w:rFonts w:ascii="Times New Roman" w:hAnsi="Times New Roman" w:cs="Times New Roman"/>
          <w:sz w:val="24"/>
          <w:szCs w:val="24"/>
        </w:rPr>
        <w:t>The final confidence score was the average score for the above characters and expressed as a percentage, so that:</w:t>
      </w:r>
    </w:p>
    <w:p w:rsidR="00BC1550" w:rsidRPr="00165EAB" w:rsidRDefault="00BC1550" w:rsidP="00BC1550">
      <w:pPr>
        <w:spacing w:line="480" w:lineRule="auto"/>
        <w:rPr>
          <w:rFonts w:ascii="Times New Roman" w:hAnsi="Times New Roman" w:cs="Times New Roman"/>
          <w:sz w:val="24"/>
          <w:szCs w:val="24"/>
        </w:rPr>
      </w:pPr>
      <m:oMath>
        <m:r>
          <w:rPr>
            <w:rFonts w:ascii="Cambria Math" w:hAnsi="Cambria Math" w:cs="Times New Roman"/>
            <w:sz w:val="24"/>
            <w:szCs w:val="24"/>
          </w:rPr>
          <m:t>classification</m:t>
        </m:r>
        <m:r>
          <m:rPr>
            <m:sty m:val="p"/>
          </m:rPr>
          <w:rPr>
            <w:rFonts w:ascii="Cambria Math" w:hAnsi="Cambria Math" w:cs="Times New Roman"/>
            <w:sz w:val="24"/>
            <w:szCs w:val="24"/>
          </w:rPr>
          <m:t xml:space="preserve"> </m:t>
        </m:r>
        <m:r>
          <w:rPr>
            <w:rFonts w:ascii="Cambria Math" w:hAnsi="Cambria Math" w:cs="Times New Roman"/>
            <w:sz w:val="24"/>
            <w:szCs w:val="24"/>
          </w:rPr>
          <m:t>confidence</m:t>
        </m:r>
        <m:r>
          <m:rPr>
            <m:sty m:val="p"/>
          </m:rPr>
          <w:rPr>
            <w:rFonts w:ascii="Cambria Math" w:hAnsi="Cambria Math" w:cs="Times New Roman"/>
            <w:sz w:val="24"/>
            <w:szCs w:val="24"/>
          </w:rPr>
          <m:t xml:space="preserve"> (%)= </m:t>
        </m:r>
        <m:f>
          <m:fPr>
            <m:ctrlPr>
              <w:rPr>
                <w:rFonts w:ascii="Cambria Math" w:hAnsi="Cambria Math" w:cs="Times New Roman"/>
                <w:sz w:val="24"/>
                <w:szCs w:val="24"/>
              </w:rPr>
            </m:ctrlPr>
          </m:fPr>
          <m:num>
            <m:r>
              <w:rPr>
                <w:rFonts w:ascii="Cambria Math" w:hAnsi="Cambria Math" w:cs="Times New Roman"/>
                <w:sz w:val="24"/>
                <w:szCs w:val="24"/>
              </w:rPr>
              <m:t>l</m:t>
            </m:r>
            <m:r>
              <m:rPr>
                <m:sty m:val="p"/>
              </m:rPr>
              <w:rPr>
                <w:rFonts w:ascii="Cambria Math" w:hAnsi="Cambria Math" w:cs="Times New Roman"/>
                <w:sz w:val="24"/>
                <w:szCs w:val="24"/>
              </w:rPr>
              <m:t>+</m:t>
            </m:r>
            <m:r>
              <w:rPr>
                <w:rFonts w:ascii="Cambria Math" w:hAnsi="Cambria Math" w:cs="Times New Roman"/>
                <w:sz w:val="24"/>
                <w:szCs w:val="24"/>
              </w:rPr>
              <m:t>c</m:t>
            </m:r>
            <m:r>
              <m:rPr>
                <m:sty m:val="p"/>
              </m:rPr>
              <w:rPr>
                <w:rFonts w:ascii="Cambria Math" w:hAnsi="Cambria Math" w:cs="Times New Roman"/>
                <w:sz w:val="24"/>
                <w:szCs w:val="24"/>
              </w:rPr>
              <m:t>+</m:t>
            </m:r>
            <m:r>
              <w:rPr>
                <w:rFonts w:ascii="Cambria Math" w:hAnsi="Cambria Math" w:cs="Times New Roman"/>
                <w:sz w:val="24"/>
                <w:szCs w:val="24"/>
              </w:rPr>
              <m:t>s</m:t>
            </m:r>
            <m:r>
              <m:rPr>
                <m:sty m:val="p"/>
              </m:rPr>
              <w:rPr>
                <w:rFonts w:ascii="Cambria Math" w:hAnsi="Cambria Math" w:cs="Times New Roman"/>
                <w:sz w:val="24"/>
                <w:szCs w:val="24"/>
              </w:rPr>
              <m:t>+</m:t>
            </m:r>
            <m:r>
              <w:rPr>
                <w:rFonts w:ascii="Cambria Math" w:hAnsi="Cambria Math" w:cs="Times New Roman"/>
                <w:sz w:val="24"/>
                <w:szCs w:val="24"/>
              </w:rPr>
              <m:t>i</m:t>
            </m:r>
          </m:num>
          <m:den>
            <m:r>
              <m:rPr>
                <m:sty m:val="p"/>
              </m:rPr>
              <w:rPr>
                <w:rFonts w:ascii="Cambria Math" w:hAnsi="Cambria Math" w:cs="Times New Roman"/>
                <w:sz w:val="24"/>
                <w:szCs w:val="24"/>
              </w:rPr>
              <m:t>4</m:t>
            </m:r>
          </m:den>
        </m:f>
        <m:r>
          <m:rPr>
            <m:sty m:val="p"/>
          </m:rPr>
          <w:rPr>
            <w:rFonts w:ascii="Cambria Math" w:hAnsi="Cambria Math" w:cs="Times New Roman"/>
            <w:sz w:val="24"/>
            <w:szCs w:val="24"/>
          </w:rPr>
          <m:t>×100</m:t>
        </m:r>
      </m:oMath>
      <w:r w:rsidRPr="00165EAB">
        <w:rPr>
          <w:rFonts w:ascii="Times New Roman" w:hAnsi="Times New Roman" w:cs="Times New Roman"/>
          <w:sz w:val="24"/>
          <w:szCs w:val="24"/>
        </w:rPr>
        <w:tab/>
      </w:r>
      <w:r w:rsidRPr="00165EAB">
        <w:rPr>
          <w:rFonts w:ascii="Times New Roman" w:hAnsi="Times New Roman" w:cs="Times New Roman"/>
          <w:sz w:val="24"/>
          <w:szCs w:val="24"/>
        </w:rPr>
        <w:tab/>
      </w:r>
    </w:p>
    <w:p w:rsidR="00BC1550" w:rsidRPr="00165EAB" w:rsidRDefault="00BC1550" w:rsidP="00BC1550">
      <w:pPr>
        <w:pStyle w:val="Caption"/>
        <w:rPr>
          <w:rFonts w:cs="Times New Roman"/>
        </w:rPr>
        <w:sectPr w:rsidR="00BC1550" w:rsidRPr="00165EAB" w:rsidSect="00095F0F">
          <w:headerReference w:type="default" r:id="rId5"/>
          <w:footerReference w:type="default" r:id="rId6"/>
          <w:footnotePr>
            <w:numFmt w:val="chicago"/>
          </w:footnotePr>
          <w:pgSz w:w="12240" w:h="15840" w:code="1"/>
          <w:pgMar w:top="1440" w:right="1440" w:bottom="1440" w:left="1440" w:header="709" w:footer="709" w:gutter="0"/>
          <w:lnNumType w:countBy="1" w:restart="continuous"/>
          <w:cols w:space="708"/>
          <w:docGrid w:linePitch="360"/>
        </w:sectPr>
      </w:pPr>
    </w:p>
    <w:p w:rsidR="00BC1550" w:rsidRPr="00150EA1" w:rsidRDefault="00BC1550" w:rsidP="00BC1550">
      <w:pPr>
        <w:pStyle w:val="Caption"/>
        <w:rPr>
          <w:rFonts w:cs="Times New Roman"/>
        </w:rPr>
      </w:pPr>
      <w:r w:rsidRPr="00165EAB">
        <w:rPr>
          <w:rFonts w:cs="Times New Roman"/>
          <w:b/>
        </w:rPr>
        <w:lastRenderedPageBreak/>
        <w:t>Table S</w:t>
      </w:r>
      <w:r w:rsidRPr="00165EAB">
        <w:rPr>
          <w:rFonts w:cs="Times New Roman"/>
          <w:b/>
          <w:noProof/>
        </w:rPr>
        <w:fldChar w:fldCharType="begin"/>
      </w:r>
      <w:r w:rsidRPr="00165EAB">
        <w:rPr>
          <w:rFonts w:cs="Times New Roman"/>
          <w:b/>
          <w:noProof/>
        </w:rPr>
        <w:instrText xml:space="preserve"> SEQ Table \* ARABIC </w:instrText>
      </w:r>
      <w:r w:rsidRPr="00165EAB">
        <w:rPr>
          <w:rFonts w:cs="Times New Roman"/>
          <w:b/>
          <w:noProof/>
        </w:rPr>
        <w:fldChar w:fldCharType="separate"/>
      </w:r>
      <w:r>
        <w:rPr>
          <w:rFonts w:cs="Times New Roman"/>
          <w:b/>
          <w:noProof/>
        </w:rPr>
        <w:t>1</w:t>
      </w:r>
      <w:r w:rsidRPr="00165EAB">
        <w:rPr>
          <w:rFonts w:cs="Times New Roman"/>
          <w:b/>
          <w:noProof/>
        </w:rPr>
        <w:fldChar w:fldCharType="end"/>
      </w:r>
      <w:r w:rsidRPr="00165EAB">
        <w:rPr>
          <w:rFonts w:cs="Times New Roman"/>
          <w:b/>
          <w:noProof/>
        </w:rPr>
        <w:t xml:space="preserve">.1: </w:t>
      </w:r>
      <w:r w:rsidRPr="00165EAB">
        <w:rPr>
          <w:rFonts w:cs="Times New Roman"/>
          <w:noProof/>
        </w:rPr>
        <w:t xml:space="preserve">Summary of information on </w:t>
      </w:r>
      <w:r w:rsidRPr="00165EAB">
        <w:rPr>
          <w:rFonts w:cs="Times New Roman"/>
          <w:i/>
        </w:rPr>
        <w:t>T.s.elegans</w:t>
      </w:r>
      <w:r w:rsidRPr="00165EAB">
        <w:rPr>
          <w:rFonts w:cs="Times New Roman"/>
        </w:rPr>
        <w:t xml:space="preserve"> samples and classification index scores, for individuals found in wild-states. Sex and age were determined by dissection and secondary characteristics, according to </w:t>
      </w:r>
      <w:r w:rsidRPr="00165EAB">
        <w:rPr>
          <w:rFonts w:cs="Times New Roman"/>
          <w:noProof/>
        </w:rPr>
        <w:t>Gradela et al. (2017)</w:t>
      </w:r>
      <w:r w:rsidRPr="00165EAB">
        <w:rPr>
          <w:rFonts w:cs="Times New Roman"/>
        </w:rPr>
        <w:t xml:space="preserve">. The original assigned status was provided by the museum collections. </w:t>
      </w:r>
      <w:r>
        <w:rPr>
          <w:rFonts w:cs="Times New Roman"/>
        </w:rPr>
        <w:t xml:space="preserve">These original assignments were scored depending on secondary characteristics to determine the confidence in assignment. Index scores were assigned by the following: </w:t>
      </w:r>
      <w:r w:rsidRPr="00165EAB">
        <w:rPr>
          <w:rFonts w:cs="Times New Roman"/>
        </w:rPr>
        <w:t>(</w:t>
      </w:r>
      <w:r w:rsidRPr="00165EAB">
        <w:rPr>
          <w:rFonts w:cs="Times New Roman"/>
          <w:i/>
        </w:rPr>
        <w:t>s</w:t>
      </w:r>
      <w:r w:rsidRPr="00165EAB">
        <w:rPr>
          <w:rFonts w:cs="Times New Roman"/>
        </w:rPr>
        <w:t>) found</w:t>
      </w:r>
      <w:r>
        <w:rPr>
          <w:rFonts w:cs="Times New Roman"/>
        </w:rPr>
        <w:t xml:space="preserve"> as captive (0) or wild (1); (</w:t>
      </w:r>
      <w:r>
        <w:rPr>
          <w:rFonts w:cs="Times New Roman"/>
          <w:i/>
        </w:rPr>
        <w:t>i</w:t>
      </w:r>
      <w:r>
        <w:rPr>
          <w:rFonts w:cs="Times New Roman"/>
        </w:rPr>
        <w:t>) source of information, surrendered by a member of the public (0) or by a contractor (1); (</w:t>
      </w:r>
      <w:r>
        <w:rPr>
          <w:rFonts w:cs="Times New Roman"/>
          <w:i/>
        </w:rPr>
        <w:t>c</w:t>
      </w:r>
      <w:r>
        <w:rPr>
          <w:rFonts w:cs="Times New Roman"/>
        </w:rPr>
        <w:t>) clean carapace (0 if assigned wild or 1 if assigned captive) or carapace covered in algae (0 if assigned captive or 1 if assigned wild); and (</w:t>
      </w:r>
      <w:r>
        <w:rPr>
          <w:rFonts w:cs="Times New Roman"/>
          <w:i/>
        </w:rPr>
        <w:t>l</w:t>
      </w:r>
      <w:r>
        <w:rPr>
          <w:rFonts w:cs="Times New Roman"/>
        </w:rPr>
        <w:t>) distance was within 3km of a known established wild population (0 if assigned captive or 1 if assigned wild) or not within 3km (0 if assigned wild or 1 if assigned captive). If any of these characters were unknown, the score was left blank and removed from the confidence equation. Confidence was calculated as the average of the scores, presented as a percentage.</w:t>
      </w:r>
    </w:p>
    <w:tbl>
      <w:tblPr>
        <w:tblStyle w:val="TableGrid"/>
        <w:tblW w:w="12611" w:type="dxa"/>
        <w:tblLayout w:type="fixed"/>
        <w:tblLook w:val="04A0" w:firstRow="1" w:lastRow="0" w:firstColumn="1" w:lastColumn="0" w:noHBand="0" w:noVBand="1"/>
      </w:tblPr>
      <w:tblGrid>
        <w:gridCol w:w="704"/>
        <w:gridCol w:w="696"/>
        <w:gridCol w:w="1110"/>
        <w:gridCol w:w="1313"/>
        <w:gridCol w:w="1275"/>
        <w:gridCol w:w="851"/>
        <w:gridCol w:w="1276"/>
        <w:gridCol w:w="850"/>
        <w:gridCol w:w="851"/>
        <w:gridCol w:w="850"/>
        <w:gridCol w:w="567"/>
        <w:gridCol w:w="851"/>
        <w:gridCol w:w="1417"/>
      </w:tblGrid>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b/>
                <w:bCs/>
                <w:color w:val="000000"/>
                <w:sz w:val="24"/>
                <w:szCs w:val="24"/>
                <w:lang w:eastAsia="en-AU"/>
              </w:rPr>
            </w:pPr>
            <w:r w:rsidRPr="00902447">
              <w:rPr>
                <w:rFonts w:ascii="Times New Roman" w:eastAsia="Times New Roman" w:hAnsi="Times New Roman" w:cs="Times New Roman"/>
                <w:b/>
                <w:bCs/>
                <w:color w:val="000000"/>
                <w:sz w:val="24"/>
                <w:szCs w:val="24"/>
                <w:lang w:eastAsia="en-AU"/>
              </w:rPr>
              <w:t>ID</w:t>
            </w:r>
          </w:p>
        </w:tc>
        <w:tc>
          <w:tcPr>
            <w:tcW w:w="696" w:type="dxa"/>
            <w:hideMark/>
          </w:tcPr>
          <w:p w:rsidR="00BC1550" w:rsidRPr="00902447" w:rsidRDefault="00BC1550" w:rsidP="00963ABE">
            <w:pPr>
              <w:rPr>
                <w:rFonts w:ascii="Times New Roman" w:eastAsia="Times New Roman" w:hAnsi="Times New Roman" w:cs="Times New Roman"/>
                <w:b/>
                <w:bCs/>
                <w:color w:val="000000"/>
                <w:sz w:val="24"/>
                <w:szCs w:val="24"/>
                <w:lang w:eastAsia="en-AU"/>
              </w:rPr>
            </w:pPr>
            <w:r w:rsidRPr="00902447">
              <w:rPr>
                <w:rFonts w:ascii="Times New Roman" w:eastAsia="Times New Roman" w:hAnsi="Times New Roman" w:cs="Times New Roman"/>
                <w:b/>
                <w:bCs/>
                <w:color w:val="000000"/>
                <w:sz w:val="24"/>
                <w:szCs w:val="24"/>
                <w:lang w:eastAsia="en-AU"/>
              </w:rPr>
              <w:t>Age</w:t>
            </w:r>
          </w:p>
        </w:tc>
        <w:tc>
          <w:tcPr>
            <w:tcW w:w="1110" w:type="dxa"/>
            <w:noWrap/>
            <w:hideMark/>
          </w:tcPr>
          <w:p w:rsidR="00BC1550" w:rsidRPr="00902447" w:rsidRDefault="00BC1550" w:rsidP="00963ABE">
            <w:pPr>
              <w:rPr>
                <w:rFonts w:ascii="Times New Roman" w:eastAsia="Times New Roman" w:hAnsi="Times New Roman" w:cs="Times New Roman"/>
                <w:b/>
                <w:bCs/>
                <w:color w:val="000000"/>
                <w:sz w:val="24"/>
                <w:szCs w:val="24"/>
                <w:lang w:eastAsia="en-AU"/>
              </w:rPr>
            </w:pPr>
            <w:r w:rsidRPr="00902447">
              <w:rPr>
                <w:rFonts w:ascii="Times New Roman" w:eastAsia="Times New Roman" w:hAnsi="Times New Roman" w:cs="Times New Roman"/>
                <w:b/>
                <w:bCs/>
                <w:color w:val="000000"/>
                <w:sz w:val="24"/>
                <w:szCs w:val="24"/>
                <w:lang w:eastAsia="en-AU"/>
              </w:rPr>
              <w:t>Sex</w:t>
            </w:r>
          </w:p>
        </w:tc>
        <w:tc>
          <w:tcPr>
            <w:tcW w:w="1313" w:type="dxa"/>
            <w:hideMark/>
          </w:tcPr>
          <w:p w:rsidR="00BC1550" w:rsidRPr="00902447" w:rsidRDefault="00BC1550" w:rsidP="00963ABE">
            <w:pPr>
              <w:rPr>
                <w:rFonts w:ascii="Times New Roman" w:eastAsia="Times New Roman" w:hAnsi="Times New Roman" w:cs="Times New Roman"/>
                <w:b/>
                <w:bCs/>
                <w:color w:val="000000"/>
                <w:sz w:val="24"/>
                <w:szCs w:val="24"/>
                <w:lang w:eastAsia="en-AU"/>
              </w:rPr>
            </w:pPr>
            <w:r w:rsidRPr="00902447">
              <w:rPr>
                <w:rFonts w:ascii="Times New Roman" w:eastAsia="Times New Roman" w:hAnsi="Times New Roman" w:cs="Times New Roman"/>
                <w:b/>
                <w:bCs/>
                <w:color w:val="000000"/>
                <w:sz w:val="24"/>
                <w:szCs w:val="24"/>
                <w:lang w:eastAsia="en-AU"/>
              </w:rPr>
              <w:t>Date Found</w:t>
            </w:r>
          </w:p>
        </w:tc>
        <w:tc>
          <w:tcPr>
            <w:tcW w:w="1275" w:type="dxa"/>
          </w:tcPr>
          <w:p w:rsidR="00BC1550" w:rsidRPr="00165EAB"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color w:val="000000"/>
                <w:sz w:val="24"/>
                <w:szCs w:val="24"/>
                <w:lang w:eastAsia="en-AU"/>
              </w:rPr>
              <w:t>Assigned status</w:t>
            </w:r>
          </w:p>
        </w:tc>
        <w:tc>
          <w:tcPr>
            <w:tcW w:w="851" w:type="dxa"/>
            <w:noWrap/>
            <w:hideMark/>
          </w:tcPr>
          <w:p w:rsidR="00BC1550" w:rsidRPr="00902447"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i/>
                <w:iCs/>
                <w:color w:val="000000"/>
                <w:sz w:val="24"/>
                <w:szCs w:val="24"/>
                <w:lang w:eastAsia="en-AU"/>
              </w:rPr>
              <w:t xml:space="preserve">s </w:t>
            </w:r>
            <w:r w:rsidRPr="00902447">
              <w:rPr>
                <w:rFonts w:ascii="Times New Roman" w:eastAsia="Times New Roman" w:hAnsi="Times New Roman" w:cs="Times New Roman"/>
                <w:b/>
                <w:bCs/>
                <w:color w:val="000000"/>
                <w:sz w:val="24"/>
                <w:szCs w:val="24"/>
                <w:lang w:eastAsia="en-AU"/>
              </w:rPr>
              <w:t>score</w:t>
            </w:r>
          </w:p>
        </w:tc>
        <w:tc>
          <w:tcPr>
            <w:tcW w:w="1276" w:type="dxa"/>
            <w:noWrap/>
            <w:hideMark/>
          </w:tcPr>
          <w:p w:rsidR="00BC1550" w:rsidRPr="00902447"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i/>
                <w:iCs/>
                <w:color w:val="000000"/>
                <w:sz w:val="24"/>
                <w:szCs w:val="24"/>
                <w:lang w:eastAsia="en-AU"/>
              </w:rPr>
              <w:t>i</w:t>
            </w:r>
          </w:p>
        </w:tc>
        <w:tc>
          <w:tcPr>
            <w:tcW w:w="850" w:type="dxa"/>
            <w:noWrap/>
            <w:hideMark/>
          </w:tcPr>
          <w:p w:rsidR="00BC1550" w:rsidRPr="00902447"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i/>
                <w:iCs/>
                <w:color w:val="000000"/>
                <w:sz w:val="24"/>
                <w:szCs w:val="24"/>
                <w:lang w:eastAsia="en-AU"/>
              </w:rPr>
              <w:t>i</w:t>
            </w:r>
            <w:r w:rsidRPr="00902447">
              <w:rPr>
                <w:rFonts w:ascii="Times New Roman" w:eastAsia="Times New Roman" w:hAnsi="Times New Roman" w:cs="Times New Roman"/>
                <w:b/>
                <w:bCs/>
                <w:color w:val="000000"/>
                <w:sz w:val="24"/>
                <w:szCs w:val="24"/>
                <w:lang w:eastAsia="en-AU"/>
              </w:rPr>
              <w:t xml:space="preserve"> score</w:t>
            </w:r>
          </w:p>
        </w:tc>
        <w:tc>
          <w:tcPr>
            <w:tcW w:w="851" w:type="dxa"/>
            <w:noWrap/>
            <w:hideMark/>
          </w:tcPr>
          <w:p w:rsidR="00BC1550" w:rsidRPr="00902447"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i/>
                <w:iCs/>
                <w:color w:val="000000"/>
                <w:sz w:val="24"/>
                <w:szCs w:val="24"/>
                <w:lang w:eastAsia="en-AU"/>
              </w:rPr>
              <w:t>c</w:t>
            </w:r>
          </w:p>
        </w:tc>
        <w:tc>
          <w:tcPr>
            <w:tcW w:w="850" w:type="dxa"/>
            <w:noWrap/>
            <w:hideMark/>
          </w:tcPr>
          <w:p w:rsidR="00BC1550" w:rsidRPr="00902447"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i/>
                <w:iCs/>
                <w:color w:val="000000"/>
                <w:sz w:val="24"/>
                <w:szCs w:val="24"/>
                <w:lang w:eastAsia="en-AU"/>
              </w:rPr>
              <w:t>c</w:t>
            </w:r>
            <w:r w:rsidRPr="00902447">
              <w:rPr>
                <w:rFonts w:ascii="Times New Roman" w:eastAsia="Times New Roman" w:hAnsi="Times New Roman" w:cs="Times New Roman"/>
                <w:b/>
                <w:bCs/>
                <w:color w:val="000000"/>
                <w:sz w:val="24"/>
                <w:szCs w:val="24"/>
                <w:lang w:eastAsia="en-AU"/>
              </w:rPr>
              <w:t xml:space="preserve"> score</w:t>
            </w:r>
          </w:p>
        </w:tc>
        <w:tc>
          <w:tcPr>
            <w:tcW w:w="567" w:type="dxa"/>
            <w:noWrap/>
            <w:hideMark/>
          </w:tcPr>
          <w:p w:rsidR="00BC1550" w:rsidRPr="00902447"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i/>
                <w:iCs/>
                <w:color w:val="000000"/>
                <w:sz w:val="24"/>
                <w:szCs w:val="24"/>
                <w:lang w:eastAsia="en-AU"/>
              </w:rPr>
              <w:t>l</w:t>
            </w:r>
          </w:p>
        </w:tc>
        <w:tc>
          <w:tcPr>
            <w:tcW w:w="851" w:type="dxa"/>
            <w:noWrap/>
            <w:hideMark/>
          </w:tcPr>
          <w:p w:rsidR="00BC1550" w:rsidRPr="00902447" w:rsidRDefault="00BC1550" w:rsidP="00963ABE">
            <w:pPr>
              <w:rPr>
                <w:rFonts w:ascii="Times New Roman" w:eastAsia="Times New Roman" w:hAnsi="Times New Roman" w:cs="Times New Roman"/>
                <w:b/>
                <w:bCs/>
                <w:i/>
                <w:iCs/>
                <w:color w:val="000000"/>
                <w:sz w:val="24"/>
                <w:szCs w:val="24"/>
                <w:lang w:eastAsia="en-AU"/>
              </w:rPr>
            </w:pPr>
            <w:r w:rsidRPr="00902447">
              <w:rPr>
                <w:rFonts w:ascii="Times New Roman" w:eastAsia="Times New Roman" w:hAnsi="Times New Roman" w:cs="Times New Roman"/>
                <w:b/>
                <w:bCs/>
                <w:i/>
                <w:iCs/>
                <w:color w:val="000000"/>
                <w:sz w:val="24"/>
                <w:szCs w:val="24"/>
                <w:lang w:eastAsia="en-AU"/>
              </w:rPr>
              <w:t>l</w:t>
            </w:r>
            <w:r w:rsidRPr="00902447">
              <w:rPr>
                <w:rFonts w:ascii="Times New Roman" w:eastAsia="Times New Roman" w:hAnsi="Times New Roman" w:cs="Times New Roman"/>
                <w:b/>
                <w:bCs/>
                <w:color w:val="000000"/>
                <w:sz w:val="24"/>
                <w:szCs w:val="24"/>
                <w:lang w:eastAsia="en-AU"/>
              </w:rPr>
              <w:t xml:space="preserve"> score</w:t>
            </w:r>
          </w:p>
        </w:tc>
        <w:tc>
          <w:tcPr>
            <w:tcW w:w="1417" w:type="dxa"/>
            <w:noWrap/>
            <w:hideMark/>
          </w:tcPr>
          <w:p w:rsidR="00BC1550" w:rsidRPr="00902447" w:rsidRDefault="00BC1550" w:rsidP="00963ABE">
            <w:pPr>
              <w:rPr>
                <w:rFonts w:ascii="Times New Roman" w:eastAsia="Times New Roman" w:hAnsi="Times New Roman" w:cs="Times New Roman"/>
                <w:b/>
                <w:bCs/>
                <w:color w:val="000000"/>
                <w:sz w:val="24"/>
                <w:szCs w:val="24"/>
                <w:lang w:eastAsia="en-AU"/>
              </w:rPr>
            </w:pPr>
            <w:r w:rsidRPr="00902447">
              <w:rPr>
                <w:rFonts w:ascii="Times New Roman" w:eastAsia="Times New Roman" w:hAnsi="Times New Roman" w:cs="Times New Roman"/>
                <w:b/>
                <w:bCs/>
                <w:color w:val="000000"/>
                <w:sz w:val="24"/>
                <w:szCs w:val="24"/>
                <w:lang w:eastAsia="en-AU"/>
              </w:rPr>
              <w:t>Confidence</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C3</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adult</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female</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Nov-</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17</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captive</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contractor</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clean</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no</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0</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75</w:t>
            </w:r>
            <w:r w:rsidRPr="00165EAB">
              <w:rPr>
                <w:rFonts w:ascii="Times New Roman" w:eastAsia="Times New Roman" w:hAnsi="Times New Roman" w:cs="Times New Roman"/>
                <w:color w:val="000000"/>
                <w:sz w:val="24"/>
                <w:szCs w:val="24"/>
                <w:lang w:eastAsia="en-AU"/>
              </w:rPr>
              <w:t>%</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C4</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adult</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male</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Nov-</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16</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captive</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contractor</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clean</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yes</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5</w:t>
            </w:r>
            <w:r w:rsidRPr="00165EAB">
              <w:rPr>
                <w:rFonts w:ascii="Times New Roman" w:eastAsia="Times New Roman" w:hAnsi="Times New Roman" w:cs="Times New Roman"/>
                <w:color w:val="000000"/>
                <w:sz w:val="24"/>
                <w:szCs w:val="24"/>
                <w:lang w:eastAsia="en-AU"/>
              </w:rPr>
              <w:t>0%</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U1</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adult</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male</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Mar-</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18</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captive</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public</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algae</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yes</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r w:rsidRPr="00165EAB">
              <w:rPr>
                <w:rFonts w:ascii="Times New Roman" w:eastAsia="Times New Roman" w:hAnsi="Times New Roman" w:cs="Times New Roman"/>
                <w:color w:val="000000"/>
                <w:sz w:val="24"/>
                <w:szCs w:val="24"/>
                <w:lang w:eastAsia="en-AU"/>
              </w:rPr>
              <w:t>%</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U2</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adult</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male</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Jul-</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18</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captive</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public</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algae</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yes</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r w:rsidRPr="00165EAB">
              <w:rPr>
                <w:rFonts w:ascii="Times New Roman" w:eastAsia="Times New Roman" w:hAnsi="Times New Roman" w:cs="Times New Roman"/>
                <w:color w:val="000000"/>
                <w:sz w:val="24"/>
                <w:szCs w:val="24"/>
                <w:lang w:eastAsia="en-AU"/>
              </w:rPr>
              <w:t>%</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W1</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juv.</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unknown</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Dec-</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14</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wild</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contractor</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clean</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no</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5</w:t>
            </w:r>
            <w:r w:rsidRPr="00165EAB">
              <w:rPr>
                <w:rFonts w:ascii="Times New Roman" w:eastAsia="Times New Roman" w:hAnsi="Times New Roman" w:cs="Times New Roman"/>
                <w:color w:val="000000"/>
                <w:sz w:val="24"/>
                <w:szCs w:val="24"/>
                <w:lang w:eastAsia="en-AU"/>
              </w:rPr>
              <w:t>0%</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W2</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adult</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male</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Oct-</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17</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wild</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unknown</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 </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clean</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yes</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67</w:t>
            </w:r>
            <w:r w:rsidRPr="00165EAB">
              <w:rPr>
                <w:rFonts w:ascii="Times New Roman" w:eastAsia="Times New Roman" w:hAnsi="Times New Roman" w:cs="Times New Roman"/>
                <w:color w:val="000000"/>
                <w:sz w:val="24"/>
                <w:szCs w:val="24"/>
                <w:lang w:eastAsia="en-AU"/>
              </w:rPr>
              <w:t>%</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W3</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adult</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male</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Mar-</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17</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wild</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public</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clean</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yes</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5</w:t>
            </w:r>
            <w:r w:rsidRPr="00165EAB">
              <w:rPr>
                <w:rFonts w:ascii="Times New Roman" w:eastAsia="Times New Roman" w:hAnsi="Times New Roman" w:cs="Times New Roman"/>
                <w:color w:val="000000"/>
                <w:sz w:val="24"/>
                <w:szCs w:val="24"/>
                <w:lang w:eastAsia="en-AU"/>
              </w:rPr>
              <w:t>0%</w:t>
            </w:r>
          </w:p>
        </w:tc>
      </w:tr>
      <w:tr w:rsidR="00BC1550" w:rsidRPr="00165EAB" w:rsidTr="00963ABE">
        <w:trPr>
          <w:trHeight w:val="330"/>
        </w:trPr>
        <w:tc>
          <w:tcPr>
            <w:tcW w:w="704"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W4</w:t>
            </w:r>
          </w:p>
        </w:tc>
        <w:tc>
          <w:tcPr>
            <w:tcW w:w="696"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adult</w:t>
            </w:r>
          </w:p>
        </w:tc>
        <w:tc>
          <w:tcPr>
            <w:tcW w:w="1110"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female</w:t>
            </w:r>
          </w:p>
        </w:tc>
        <w:tc>
          <w:tcPr>
            <w:tcW w:w="1313" w:type="dxa"/>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Dec-</w:t>
            </w:r>
            <w:r w:rsidRPr="00165EAB">
              <w:rPr>
                <w:rFonts w:ascii="Times New Roman" w:eastAsia="Times New Roman" w:hAnsi="Times New Roman" w:cs="Times New Roman"/>
                <w:color w:val="000000"/>
                <w:sz w:val="24"/>
                <w:szCs w:val="24"/>
                <w:lang w:eastAsia="en-AU"/>
              </w:rPr>
              <w:t>20</w:t>
            </w:r>
            <w:r w:rsidRPr="00902447">
              <w:rPr>
                <w:rFonts w:ascii="Times New Roman" w:eastAsia="Times New Roman" w:hAnsi="Times New Roman" w:cs="Times New Roman"/>
                <w:color w:val="000000"/>
                <w:sz w:val="24"/>
                <w:szCs w:val="24"/>
                <w:lang w:eastAsia="en-AU"/>
              </w:rPr>
              <w:t>17</w:t>
            </w:r>
          </w:p>
        </w:tc>
        <w:tc>
          <w:tcPr>
            <w:tcW w:w="1275" w:type="dxa"/>
          </w:tcPr>
          <w:p w:rsidR="00BC1550" w:rsidRPr="00165EAB"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wild</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1276"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contractor</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algae</w:t>
            </w:r>
          </w:p>
        </w:tc>
        <w:tc>
          <w:tcPr>
            <w:tcW w:w="850"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1</w:t>
            </w:r>
          </w:p>
        </w:tc>
        <w:tc>
          <w:tcPr>
            <w:tcW w:w="56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 </w:t>
            </w:r>
            <w:r w:rsidRPr="00165EAB">
              <w:rPr>
                <w:rFonts w:ascii="Times New Roman" w:eastAsia="Times New Roman" w:hAnsi="Times New Roman" w:cs="Times New Roman"/>
                <w:color w:val="000000"/>
                <w:sz w:val="24"/>
                <w:szCs w:val="24"/>
                <w:lang w:eastAsia="en-AU"/>
              </w:rPr>
              <w:t>no</w:t>
            </w:r>
          </w:p>
        </w:tc>
        <w:tc>
          <w:tcPr>
            <w:tcW w:w="851"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0</w:t>
            </w:r>
          </w:p>
        </w:tc>
        <w:tc>
          <w:tcPr>
            <w:tcW w:w="1417" w:type="dxa"/>
            <w:noWrap/>
            <w:hideMark/>
          </w:tcPr>
          <w:p w:rsidR="00BC1550" w:rsidRPr="00902447" w:rsidRDefault="00BC1550" w:rsidP="00963ABE">
            <w:pPr>
              <w:rPr>
                <w:rFonts w:ascii="Times New Roman" w:eastAsia="Times New Roman" w:hAnsi="Times New Roman" w:cs="Times New Roman"/>
                <w:color w:val="000000"/>
                <w:sz w:val="24"/>
                <w:szCs w:val="24"/>
                <w:lang w:eastAsia="en-AU"/>
              </w:rPr>
            </w:pPr>
            <w:r w:rsidRPr="00902447">
              <w:rPr>
                <w:rFonts w:ascii="Times New Roman" w:eastAsia="Times New Roman" w:hAnsi="Times New Roman" w:cs="Times New Roman"/>
                <w:color w:val="000000"/>
                <w:sz w:val="24"/>
                <w:szCs w:val="24"/>
                <w:lang w:eastAsia="en-AU"/>
              </w:rPr>
              <w:t>75</w:t>
            </w:r>
            <w:r w:rsidRPr="00165EAB">
              <w:rPr>
                <w:rFonts w:ascii="Times New Roman" w:eastAsia="Times New Roman" w:hAnsi="Times New Roman" w:cs="Times New Roman"/>
                <w:color w:val="000000"/>
                <w:sz w:val="24"/>
                <w:szCs w:val="24"/>
                <w:lang w:eastAsia="en-AU"/>
              </w:rPr>
              <w:t>%</w:t>
            </w:r>
          </w:p>
        </w:tc>
      </w:tr>
    </w:tbl>
    <w:p w:rsidR="00BC1550" w:rsidRPr="00165EAB" w:rsidRDefault="00BC1550" w:rsidP="00BC1550">
      <w:pPr>
        <w:spacing w:line="480" w:lineRule="auto"/>
        <w:rPr>
          <w:rFonts w:ascii="Times New Roman" w:hAnsi="Times New Roman" w:cs="Times New Roman"/>
          <w:sz w:val="24"/>
          <w:szCs w:val="24"/>
        </w:rPr>
      </w:pPr>
    </w:p>
    <w:p w:rsidR="00BC1550" w:rsidRPr="00150EA1" w:rsidRDefault="00BC1550" w:rsidP="00BC1550">
      <w:pPr>
        <w:pStyle w:val="Caption"/>
        <w:rPr>
          <w:rFonts w:cs="Times New Roman"/>
        </w:rPr>
      </w:pPr>
      <w:r w:rsidRPr="00165EAB">
        <w:rPr>
          <w:rFonts w:cs="Times New Roman"/>
          <w:b/>
          <w:szCs w:val="24"/>
        </w:rPr>
        <w:t>Table S1.</w:t>
      </w:r>
      <w:r>
        <w:rPr>
          <w:rFonts w:cs="Times New Roman"/>
          <w:b/>
          <w:szCs w:val="24"/>
        </w:rPr>
        <w:t>2</w:t>
      </w:r>
      <w:r w:rsidRPr="00165EAB">
        <w:rPr>
          <w:rFonts w:cs="Times New Roman"/>
          <w:b/>
          <w:szCs w:val="24"/>
        </w:rPr>
        <w:t xml:space="preserve">: </w:t>
      </w:r>
      <w:r w:rsidRPr="00165EAB">
        <w:rPr>
          <w:rFonts w:cs="Times New Roman"/>
          <w:noProof/>
        </w:rPr>
        <w:t xml:space="preserve">Summary of information on </w:t>
      </w:r>
      <w:r w:rsidRPr="00165EAB">
        <w:rPr>
          <w:rFonts w:cs="Times New Roman"/>
          <w:i/>
        </w:rPr>
        <w:t>T.s.elegans</w:t>
      </w:r>
      <w:r w:rsidRPr="00165EAB">
        <w:rPr>
          <w:rFonts w:cs="Times New Roman"/>
        </w:rPr>
        <w:t xml:space="preserve"> samples and classification index scores, for individuals found in </w:t>
      </w:r>
      <w:r>
        <w:rPr>
          <w:rFonts w:cs="Times New Roman"/>
        </w:rPr>
        <w:t>captivity</w:t>
      </w:r>
      <w:r w:rsidRPr="00165EAB">
        <w:rPr>
          <w:rFonts w:cs="Times New Roman"/>
        </w:rPr>
        <w:t xml:space="preserve">. Sex and age were determined by dissection and secondary characteristics, according to </w:t>
      </w:r>
      <w:r w:rsidRPr="00165EAB">
        <w:rPr>
          <w:rFonts w:cs="Times New Roman"/>
          <w:noProof/>
        </w:rPr>
        <w:t>Gradela et al. (2017)</w:t>
      </w:r>
      <w:r w:rsidRPr="00165EAB">
        <w:rPr>
          <w:rFonts w:cs="Times New Roman"/>
        </w:rPr>
        <w:t xml:space="preserve">. The original assigned status was provided by the museum collections. </w:t>
      </w:r>
      <w:r>
        <w:rPr>
          <w:rFonts w:cs="Times New Roman"/>
        </w:rPr>
        <w:t xml:space="preserve">These original assignments were scored depending on secondary characteristics to determine the </w:t>
      </w:r>
      <w:r>
        <w:rPr>
          <w:rFonts w:cs="Times New Roman"/>
        </w:rPr>
        <w:lastRenderedPageBreak/>
        <w:t xml:space="preserve">confidence in assignment. Index scores were assigned by the following: </w:t>
      </w:r>
      <w:r w:rsidRPr="00165EAB">
        <w:rPr>
          <w:rFonts w:cs="Times New Roman"/>
        </w:rPr>
        <w:t>(</w:t>
      </w:r>
      <w:r w:rsidRPr="00165EAB">
        <w:rPr>
          <w:rFonts w:cs="Times New Roman"/>
          <w:i/>
        </w:rPr>
        <w:t>s</w:t>
      </w:r>
      <w:r w:rsidRPr="00165EAB">
        <w:rPr>
          <w:rFonts w:cs="Times New Roman"/>
        </w:rPr>
        <w:t>) found</w:t>
      </w:r>
      <w:r>
        <w:rPr>
          <w:rFonts w:cs="Times New Roman"/>
        </w:rPr>
        <w:t xml:space="preserve"> as captive (1) or wild (0); (</w:t>
      </w:r>
      <w:r>
        <w:rPr>
          <w:rFonts w:cs="Times New Roman"/>
          <w:i/>
        </w:rPr>
        <w:t>i</w:t>
      </w:r>
      <w:r>
        <w:rPr>
          <w:rFonts w:cs="Times New Roman"/>
        </w:rPr>
        <w:t>) source of information, surrendered by a member of the public (0) or by a contractor (1); (</w:t>
      </w:r>
      <w:r>
        <w:rPr>
          <w:rFonts w:cs="Times New Roman"/>
          <w:i/>
        </w:rPr>
        <w:t>c</w:t>
      </w:r>
      <w:r>
        <w:rPr>
          <w:rFonts w:cs="Times New Roman"/>
        </w:rPr>
        <w:t>) clean carapace (1) or carapace covered in algae (0). Distance was within 3km of a known established wild population (</w:t>
      </w:r>
      <w:r>
        <w:rPr>
          <w:rFonts w:cs="Times New Roman"/>
          <w:i/>
        </w:rPr>
        <w:t>l</w:t>
      </w:r>
      <w:r>
        <w:rPr>
          <w:rFonts w:cs="Times New Roman"/>
        </w:rPr>
        <w:t>) was omitted as it is not applicable to animals found in captivity. If any of these characters were unknown, the score was left blank and removed from the confidence equation. Confidence was calculated as the average of the scores, presented as a percentage.</w:t>
      </w:r>
    </w:p>
    <w:tbl>
      <w:tblPr>
        <w:tblStyle w:val="TableGrid"/>
        <w:tblW w:w="0" w:type="auto"/>
        <w:tblLook w:val="04A0" w:firstRow="1" w:lastRow="0" w:firstColumn="1" w:lastColumn="0" w:noHBand="0" w:noVBand="1"/>
      </w:tblPr>
      <w:tblGrid>
        <w:gridCol w:w="704"/>
        <w:gridCol w:w="709"/>
        <w:gridCol w:w="965"/>
        <w:gridCol w:w="1161"/>
        <w:gridCol w:w="1137"/>
        <w:gridCol w:w="850"/>
        <w:gridCol w:w="1276"/>
        <w:gridCol w:w="866"/>
        <w:gridCol w:w="953"/>
        <w:gridCol w:w="874"/>
        <w:gridCol w:w="1376"/>
      </w:tblGrid>
      <w:tr w:rsidR="00BC1550" w:rsidRPr="00165EAB" w:rsidTr="00963ABE">
        <w:trPr>
          <w:trHeight w:val="315"/>
        </w:trPr>
        <w:tc>
          <w:tcPr>
            <w:tcW w:w="704" w:type="dxa"/>
            <w:noWrap/>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sz w:val="24"/>
                <w:szCs w:val="24"/>
              </w:rPr>
              <w:t>ID</w:t>
            </w:r>
          </w:p>
        </w:tc>
        <w:tc>
          <w:tcPr>
            <w:tcW w:w="709" w:type="dxa"/>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sz w:val="24"/>
                <w:szCs w:val="24"/>
              </w:rPr>
              <w:t>Age</w:t>
            </w:r>
          </w:p>
        </w:tc>
        <w:tc>
          <w:tcPr>
            <w:tcW w:w="965" w:type="dxa"/>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sz w:val="24"/>
                <w:szCs w:val="24"/>
              </w:rPr>
              <w:t>Sex</w:t>
            </w:r>
          </w:p>
        </w:tc>
        <w:tc>
          <w:tcPr>
            <w:tcW w:w="1161" w:type="dxa"/>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sz w:val="24"/>
                <w:szCs w:val="24"/>
              </w:rPr>
              <w:t>Date Found</w:t>
            </w:r>
          </w:p>
        </w:tc>
        <w:tc>
          <w:tcPr>
            <w:tcW w:w="1137" w:type="dxa"/>
          </w:tcPr>
          <w:p w:rsidR="00BC1550" w:rsidRPr="00165EAB" w:rsidRDefault="00BC1550" w:rsidP="00963ABE">
            <w:pPr>
              <w:rPr>
                <w:rFonts w:ascii="Times New Roman" w:hAnsi="Times New Roman" w:cs="Times New Roman"/>
                <w:b/>
                <w:i/>
                <w:sz w:val="24"/>
                <w:szCs w:val="24"/>
              </w:rPr>
            </w:pPr>
            <w:r w:rsidRPr="00165EAB">
              <w:rPr>
                <w:rFonts w:ascii="Times New Roman" w:hAnsi="Times New Roman" w:cs="Times New Roman"/>
                <w:b/>
                <w:sz w:val="24"/>
                <w:szCs w:val="24"/>
              </w:rPr>
              <w:t>Assigned status</w:t>
            </w:r>
          </w:p>
        </w:tc>
        <w:tc>
          <w:tcPr>
            <w:tcW w:w="850" w:type="dxa"/>
            <w:noWrap/>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i/>
                <w:sz w:val="24"/>
                <w:szCs w:val="24"/>
              </w:rPr>
              <w:t xml:space="preserve">s </w:t>
            </w:r>
            <w:r w:rsidRPr="00165EAB">
              <w:rPr>
                <w:rFonts w:ascii="Times New Roman" w:hAnsi="Times New Roman" w:cs="Times New Roman"/>
                <w:b/>
                <w:sz w:val="24"/>
                <w:szCs w:val="24"/>
              </w:rPr>
              <w:t>score</w:t>
            </w:r>
          </w:p>
        </w:tc>
        <w:tc>
          <w:tcPr>
            <w:tcW w:w="1276" w:type="dxa"/>
            <w:noWrap/>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i/>
                <w:sz w:val="24"/>
                <w:szCs w:val="24"/>
              </w:rPr>
              <w:t>i</w:t>
            </w:r>
          </w:p>
        </w:tc>
        <w:tc>
          <w:tcPr>
            <w:tcW w:w="866" w:type="dxa"/>
            <w:noWrap/>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i/>
                <w:sz w:val="24"/>
                <w:szCs w:val="24"/>
              </w:rPr>
              <w:t>i</w:t>
            </w:r>
            <w:r w:rsidRPr="00165EAB">
              <w:rPr>
                <w:rFonts w:ascii="Times New Roman" w:hAnsi="Times New Roman" w:cs="Times New Roman"/>
                <w:b/>
                <w:sz w:val="24"/>
                <w:szCs w:val="24"/>
              </w:rPr>
              <w:t xml:space="preserve"> score</w:t>
            </w:r>
          </w:p>
        </w:tc>
        <w:tc>
          <w:tcPr>
            <w:tcW w:w="953" w:type="dxa"/>
            <w:noWrap/>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i/>
                <w:sz w:val="24"/>
                <w:szCs w:val="24"/>
              </w:rPr>
              <w:t>c</w:t>
            </w:r>
          </w:p>
        </w:tc>
        <w:tc>
          <w:tcPr>
            <w:tcW w:w="874" w:type="dxa"/>
            <w:noWrap/>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i/>
                <w:sz w:val="24"/>
                <w:szCs w:val="24"/>
              </w:rPr>
              <w:t>c</w:t>
            </w:r>
            <w:r w:rsidRPr="00165EAB">
              <w:rPr>
                <w:rFonts w:ascii="Times New Roman" w:hAnsi="Times New Roman" w:cs="Times New Roman"/>
                <w:b/>
                <w:sz w:val="24"/>
                <w:szCs w:val="24"/>
              </w:rPr>
              <w:t xml:space="preserve"> score</w:t>
            </w:r>
          </w:p>
        </w:tc>
        <w:tc>
          <w:tcPr>
            <w:tcW w:w="1376" w:type="dxa"/>
            <w:noWrap/>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b/>
                <w:sz w:val="24"/>
                <w:szCs w:val="24"/>
              </w:rPr>
              <w:t>Confidence</w:t>
            </w:r>
          </w:p>
        </w:tc>
      </w:tr>
      <w:tr w:rsidR="00BC1550" w:rsidRPr="00165EAB" w:rsidTr="00963ABE">
        <w:trPr>
          <w:trHeight w:val="315"/>
        </w:trPr>
        <w:tc>
          <w:tcPr>
            <w:tcW w:w="70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C1</w:t>
            </w:r>
          </w:p>
        </w:tc>
        <w:tc>
          <w:tcPr>
            <w:tcW w:w="709"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adult</w:t>
            </w:r>
          </w:p>
        </w:tc>
        <w:tc>
          <w:tcPr>
            <w:tcW w:w="965"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female</w:t>
            </w:r>
          </w:p>
        </w:tc>
        <w:tc>
          <w:tcPr>
            <w:tcW w:w="1161"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Apr-2017</w:t>
            </w:r>
          </w:p>
        </w:tc>
        <w:tc>
          <w:tcPr>
            <w:tcW w:w="1137" w:type="dxa"/>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captive</w:t>
            </w:r>
          </w:p>
        </w:tc>
        <w:tc>
          <w:tcPr>
            <w:tcW w:w="850"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2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contractor</w:t>
            </w:r>
          </w:p>
        </w:tc>
        <w:tc>
          <w:tcPr>
            <w:tcW w:w="86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953"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clean</w:t>
            </w:r>
          </w:p>
        </w:tc>
        <w:tc>
          <w:tcPr>
            <w:tcW w:w="87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3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100%</w:t>
            </w:r>
          </w:p>
        </w:tc>
      </w:tr>
      <w:tr w:rsidR="00BC1550" w:rsidRPr="00165EAB" w:rsidTr="00963ABE">
        <w:trPr>
          <w:trHeight w:val="300"/>
        </w:trPr>
        <w:tc>
          <w:tcPr>
            <w:tcW w:w="70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C2</w:t>
            </w:r>
          </w:p>
        </w:tc>
        <w:tc>
          <w:tcPr>
            <w:tcW w:w="709"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adult</w:t>
            </w:r>
          </w:p>
        </w:tc>
        <w:tc>
          <w:tcPr>
            <w:tcW w:w="965"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female</w:t>
            </w:r>
          </w:p>
        </w:tc>
        <w:tc>
          <w:tcPr>
            <w:tcW w:w="1161"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Jan-2013</w:t>
            </w:r>
          </w:p>
        </w:tc>
        <w:tc>
          <w:tcPr>
            <w:tcW w:w="1137" w:type="dxa"/>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captive</w:t>
            </w:r>
          </w:p>
        </w:tc>
        <w:tc>
          <w:tcPr>
            <w:tcW w:w="850"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2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contractor</w:t>
            </w:r>
          </w:p>
        </w:tc>
        <w:tc>
          <w:tcPr>
            <w:tcW w:w="86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953"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clean</w:t>
            </w:r>
          </w:p>
        </w:tc>
        <w:tc>
          <w:tcPr>
            <w:tcW w:w="87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3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100%</w:t>
            </w:r>
          </w:p>
        </w:tc>
      </w:tr>
      <w:tr w:rsidR="00BC1550" w:rsidRPr="00165EAB" w:rsidTr="00963ABE">
        <w:trPr>
          <w:trHeight w:val="300"/>
        </w:trPr>
        <w:tc>
          <w:tcPr>
            <w:tcW w:w="70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C5</w:t>
            </w:r>
          </w:p>
        </w:tc>
        <w:tc>
          <w:tcPr>
            <w:tcW w:w="709"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adult</w:t>
            </w:r>
          </w:p>
        </w:tc>
        <w:tc>
          <w:tcPr>
            <w:tcW w:w="965"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female</w:t>
            </w:r>
          </w:p>
        </w:tc>
        <w:tc>
          <w:tcPr>
            <w:tcW w:w="1161"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Jun-2018</w:t>
            </w:r>
          </w:p>
        </w:tc>
        <w:tc>
          <w:tcPr>
            <w:tcW w:w="1137" w:type="dxa"/>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captive</w:t>
            </w:r>
          </w:p>
        </w:tc>
        <w:tc>
          <w:tcPr>
            <w:tcW w:w="850"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2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contractor</w:t>
            </w:r>
          </w:p>
        </w:tc>
        <w:tc>
          <w:tcPr>
            <w:tcW w:w="86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953"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clean</w:t>
            </w:r>
          </w:p>
        </w:tc>
        <w:tc>
          <w:tcPr>
            <w:tcW w:w="87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3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100%</w:t>
            </w:r>
          </w:p>
        </w:tc>
      </w:tr>
      <w:tr w:rsidR="00BC1550" w:rsidRPr="00165EAB" w:rsidTr="00963ABE">
        <w:trPr>
          <w:trHeight w:val="300"/>
        </w:trPr>
        <w:tc>
          <w:tcPr>
            <w:tcW w:w="70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C6</w:t>
            </w:r>
          </w:p>
        </w:tc>
        <w:tc>
          <w:tcPr>
            <w:tcW w:w="709"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adult</w:t>
            </w:r>
          </w:p>
        </w:tc>
        <w:tc>
          <w:tcPr>
            <w:tcW w:w="965"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female</w:t>
            </w:r>
          </w:p>
        </w:tc>
        <w:tc>
          <w:tcPr>
            <w:tcW w:w="1161" w:type="dxa"/>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Jun-2018</w:t>
            </w:r>
          </w:p>
        </w:tc>
        <w:tc>
          <w:tcPr>
            <w:tcW w:w="1137" w:type="dxa"/>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captive</w:t>
            </w:r>
          </w:p>
        </w:tc>
        <w:tc>
          <w:tcPr>
            <w:tcW w:w="850"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2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contractor</w:t>
            </w:r>
          </w:p>
        </w:tc>
        <w:tc>
          <w:tcPr>
            <w:tcW w:w="86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953"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clean</w:t>
            </w:r>
          </w:p>
        </w:tc>
        <w:tc>
          <w:tcPr>
            <w:tcW w:w="874"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w:t>
            </w:r>
          </w:p>
        </w:tc>
        <w:tc>
          <w:tcPr>
            <w:tcW w:w="1376" w:type="dxa"/>
            <w:noWrap/>
            <w:hideMark/>
          </w:tcPr>
          <w:p w:rsidR="00BC1550" w:rsidRPr="00165EAB" w:rsidRDefault="00BC1550" w:rsidP="00963ABE">
            <w:pPr>
              <w:rPr>
                <w:rFonts w:ascii="Times New Roman" w:hAnsi="Times New Roman" w:cs="Times New Roman"/>
                <w:sz w:val="24"/>
                <w:szCs w:val="24"/>
              </w:rPr>
            </w:pPr>
            <w:r w:rsidRPr="00165EAB">
              <w:rPr>
                <w:rFonts w:ascii="Times New Roman" w:hAnsi="Times New Roman" w:cs="Times New Roman"/>
                <w:sz w:val="24"/>
                <w:szCs w:val="24"/>
              </w:rPr>
              <w:t>100%</w:t>
            </w:r>
          </w:p>
        </w:tc>
      </w:tr>
    </w:tbl>
    <w:p w:rsidR="00BC1550" w:rsidRPr="00165EAB" w:rsidRDefault="00BC1550" w:rsidP="00BC1550">
      <w:pPr>
        <w:rPr>
          <w:rFonts w:ascii="Times New Roman" w:hAnsi="Times New Roman" w:cs="Times New Roman"/>
          <w:sz w:val="24"/>
          <w:szCs w:val="24"/>
        </w:rPr>
      </w:pPr>
      <w:r w:rsidRPr="00165EAB">
        <w:rPr>
          <w:rFonts w:ascii="Times New Roman" w:hAnsi="Times New Roman" w:cs="Times New Roman"/>
          <w:sz w:val="24"/>
          <w:szCs w:val="24"/>
        </w:rPr>
        <w:br w:type="page"/>
      </w:r>
    </w:p>
    <w:p w:rsidR="00BC1550" w:rsidRPr="00165EAB" w:rsidRDefault="00BC1550" w:rsidP="00BC1550">
      <w:pPr>
        <w:spacing w:line="480" w:lineRule="auto"/>
        <w:rPr>
          <w:rFonts w:ascii="Times New Roman" w:hAnsi="Times New Roman" w:cs="Times New Roman"/>
          <w:sz w:val="24"/>
          <w:szCs w:val="24"/>
        </w:rPr>
        <w:sectPr w:rsidR="00BC1550" w:rsidRPr="00165EAB" w:rsidSect="00095F0F">
          <w:footnotePr>
            <w:numFmt w:val="chicago"/>
          </w:footnotePr>
          <w:pgSz w:w="15840" w:h="12240" w:orient="landscape" w:code="1"/>
          <w:pgMar w:top="1440" w:right="1440" w:bottom="1440" w:left="1440" w:header="709" w:footer="709" w:gutter="0"/>
          <w:lnNumType w:countBy="1" w:restart="continuous"/>
          <w:cols w:space="708"/>
          <w:docGrid w:linePitch="360"/>
        </w:sectPr>
      </w:pPr>
    </w:p>
    <w:p w:rsidR="00BC1550" w:rsidRPr="00165EAB" w:rsidRDefault="00BC1550" w:rsidP="00BC1550">
      <w:pPr>
        <w:pStyle w:val="EndNoteBibliography"/>
        <w:spacing w:after="0" w:line="480" w:lineRule="auto"/>
        <w:rPr>
          <w:b/>
          <w:szCs w:val="24"/>
        </w:rPr>
      </w:pPr>
      <w:r w:rsidRPr="00165EAB">
        <w:rPr>
          <w:b/>
          <w:szCs w:val="24"/>
        </w:rPr>
        <w:lastRenderedPageBreak/>
        <w:t>Literature cited</w:t>
      </w:r>
    </w:p>
    <w:p w:rsidR="00BC1550" w:rsidRPr="00165EAB" w:rsidRDefault="00BC1550" w:rsidP="00BC1550">
      <w:pPr>
        <w:pStyle w:val="EndNoteBibliography"/>
        <w:spacing w:after="0" w:line="480" w:lineRule="auto"/>
        <w:ind w:left="720" w:hanging="720"/>
        <w:rPr>
          <w:szCs w:val="24"/>
        </w:rPr>
      </w:pPr>
      <w:r w:rsidRPr="00165EAB">
        <w:rPr>
          <w:szCs w:val="24"/>
        </w:rPr>
        <w:t>Gradela A, Santiago TOC, Pires IC, Silva AdCS, de Souza LC, de Faria MD, Neto JP, Milanelo L (2017) Sexual dimorphism in red-eared sliders (</w:t>
      </w:r>
      <w:r w:rsidRPr="00782A84">
        <w:rPr>
          <w:i/>
        </w:rPr>
        <w:t>Trachemys scripta elegans</w:t>
      </w:r>
      <w:r w:rsidRPr="00165EAB">
        <w:rPr>
          <w:szCs w:val="24"/>
        </w:rPr>
        <w:t>) from the Wild Animal Triage Center of the Tiete Ecological Park, São Paulo, Brazil. Acta Scientiae Veterinariae 45: 1-10. doi:10.22456/1679-9216.80442</w:t>
      </w:r>
    </w:p>
    <w:p w:rsidR="00BC1550" w:rsidRPr="00165EAB" w:rsidRDefault="00BC1550" w:rsidP="00BC1550">
      <w:pPr>
        <w:pStyle w:val="EndNoteBibliography"/>
        <w:spacing w:line="480" w:lineRule="auto"/>
        <w:ind w:left="720" w:hanging="720"/>
        <w:rPr>
          <w:szCs w:val="24"/>
        </w:rPr>
      </w:pPr>
      <w:r w:rsidRPr="00165EAB">
        <w:rPr>
          <w:szCs w:val="24"/>
        </w:rPr>
        <w:t xml:space="preserve">Mo M (2019) Red-eared Sliders </w:t>
      </w:r>
      <w:r w:rsidRPr="00782A84">
        <w:rPr>
          <w:i/>
        </w:rPr>
        <w:t>Trachemys scripta elegans</w:t>
      </w:r>
      <w:r w:rsidRPr="00165EAB">
        <w:rPr>
          <w:szCs w:val="24"/>
        </w:rPr>
        <w:t xml:space="preserve"> in southern Sydney, including new incursions. Australian Zoologist 40: 314-325. doi:10.7882/az.2018.022</w:t>
      </w:r>
    </w:p>
    <w:p w:rsidR="00BC1550" w:rsidRPr="00165EAB" w:rsidRDefault="00BC1550" w:rsidP="00BC1550">
      <w:pPr>
        <w:pStyle w:val="EndNoteBibliography"/>
        <w:spacing w:line="480" w:lineRule="auto"/>
        <w:ind w:left="720" w:hanging="720"/>
        <w:rPr>
          <w:szCs w:val="24"/>
        </w:rPr>
      </w:pPr>
      <w:r w:rsidRPr="00165EAB">
        <w:rPr>
          <w:szCs w:val="24"/>
        </w:rPr>
        <w:t>O'Keeffe S (2005) Investigating in conjecture: eradicating the red-eared slider in Queensland. In:  13th Austra</w:t>
      </w:r>
      <w:bookmarkStart w:id="0" w:name="_GoBack"/>
      <w:bookmarkEnd w:id="0"/>
      <w:r w:rsidRPr="00165EAB">
        <w:rPr>
          <w:szCs w:val="24"/>
        </w:rPr>
        <w:t>lasian Vertebrate Pest Conference. Te papa, Wellington, New Zealand, 169-176 pp.</w:t>
      </w:r>
      <w:r w:rsidRPr="00165EAB">
        <w:rPr>
          <w:szCs w:val="24"/>
        </w:rPr>
        <w:br w:type="page"/>
      </w:r>
    </w:p>
    <w:p w:rsidR="003F6C53" w:rsidRDefault="003F6C53"/>
    <w:sectPr w:rsidR="003F6C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2469932"/>
      <w:docPartObj>
        <w:docPartGallery w:val="Page Numbers (Bottom of Page)"/>
        <w:docPartUnique/>
      </w:docPartObj>
    </w:sdtPr>
    <w:sdtEndPr>
      <w:rPr>
        <w:rFonts w:ascii="Times New Roman" w:hAnsi="Times New Roman" w:cs="Times New Roman"/>
        <w:noProof/>
        <w:sz w:val="24"/>
        <w:szCs w:val="24"/>
      </w:rPr>
    </w:sdtEndPr>
    <w:sdtContent>
      <w:p w:rsidR="00DD5FCC" w:rsidRPr="002562AB" w:rsidRDefault="00BC1550">
        <w:pPr>
          <w:pStyle w:val="Footer"/>
          <w:jc w:val="right"/>
          <w:rPr>
            <w:rFonts w:ascii="Times New Roman" w:hAnsi="Times New Roman" w:cs="Times New Roman"/>
            <w:sz w:val="24"/>
            <w:szCs w:val="24"/>
          </w:rPr>
        </w:pPr>
        <w:r w:rsidRPr="002562AB">
          <w:rPr>
            <w:rFonts w:ascii="Times New Roman" w:hAnsi="Times New Roman" w:cs="Times New Roman"/>
            <w:sz w:val="24"/>
            <w:szCs w:val="24"/>
          </w:rPr>
          <w:fldChar w:fldCharType="begin"/>
        </w:r>
        <w:r w:rsidRPr="002562AB">
          <w:rPr>
            <w:rFonts w:ascii="Times New Roman" w:hAnsi="Times New Roman" w:cs="Times New Roman"/>
            <w:sz w:val="24"/>
            <w:szCs w:val="24"/>
          </w:rPr>
          <w:instrText xml:space="preserve"> PAGE   \* MERGEFORMAT </w:instrText>
        </w:r>
        <w:r w:rsidRPr="002562AB">
          <w:rPr>
            <w:rFonts w:ascii="Times New Roman" w:hAnsi="Times New Roman" w:cs="Times New Roman"/>
            <w:sz w:val="24"/>
            <w:szCs w:val="24"/>
          </w:rPr>
          <w:fldChar w:fldCharType="separate"/>
        </w:r>
        <w:r>
          <w:rPr>
            <w:rFonts w:ascii="Times New Roman" w:hAnsi="Times New Roman" w:cs="Times New Roman"/>
            <w:noProof/>
            <w:sz w:val="24"/>
            <w:szCs w:val="24"/>
          </w:rPr>
          <w:t>4</w:t>
        </w:r>
        <w:r w:rsidRPr="002562AB">
          <w:rPr>
            <w:rFonts w:ascii="Times New Roman" w:hAnsi="Times New Roman" w:cs="Times New Roman"/>
            <w:noProof/>
            <w:sz w:val="24"/>
            <w:szCs w:val="24"/>
          </w:rPr>
          <w:fldChar w:fldCharType="end"/>
        </w:r>
      </w:p>
    </w:sdtContent>
  </w:sdt>
  <w:p w:rsidR="00DD5FCC" w:rsidRDefault="00BC15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5FCC" w:rsidRDefault="00BC15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B3787C"/>
    <w:multiLevelType w:val="hybridMultilevel"/>
    <w:tmpl w:val="1B82B4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numFmt w:val="chicago"/>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550"/>
    <w:rsid w:val="003F6C53"/>
    <w:rsid w:val="007E5C10"/>
    <w:rsid w:val="00AF14AA"/>
    <w:rsid w:val="00BC155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8B63A6-ABE7-4435-9736-910DD11E7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1550"/>
  </w:style>
  <w:style w:type="paragraph" w:styleId="Heading1">
    <w:name w:val="heading 1"/>
    <w:basedOn w:val="Normal"/>
    <w:next w:val="Normal"/>
    <w:link w:val="Heading1Char"/>
    <w:uiPriority w:val="9"/>
    <w:qFormat/>
    <w:rsid w:val="00BC1550"/>
    <w:pPr>
      <w:keepNext/>
      <w:keepLines/>
      <w:spacing w:before="240" w:after="0" w:line="480" w:lineRule="auto"/>
      <w:outlineLvl w:val="0"/>
    </w:pPr>
    <w:rPr>
      <w:rFonts w:ascii="Times New Roman" w:eastAsiaTheme="majorEastAsia" w:hAnsi="Times New Roman" w:cstheme="majorBidi"/>
      <w:b/>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1550"/>
    <w:rPr>
      <w:rFonts w:ascii="Times New Roman" w:eastAsiaTheme="majorEastAsia" w:hAnsi="Times New Roman" w:cstheme="majorBidi"/>
      <w:b/>
      <w:sz w:val="24"/>
      <w:szCs w:val="32"/>
    </w:rPr>
  </w:style>
  <w:style w:type="paragraph" w:styleId="Header">
    <w:name w:val="header"/>
    <w:basedOn w:val="Normal"/>
    <w:link w:val="HeaderChar"/>
    <w:uiPriority w:val="99"/>
    <w:unhideWhenUsed/>
    <w:rsid w:val="00BC15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1550"/>
  </w:style>
  <w:style w:type="paragraph" w:styleId="Footer">
    <w:name w:val="footer"/>
    <w:basedOn w:val="Normal"/>
    <w:link w:val="FooterChar"/>
    <w:uiPriority w:val="99"/>
    <w:unhideWhenUsed/>
    <w:rsid w:val="00BC15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1550"/>
  </w:style>
  <w:style w:type="paragraph" w:styleId="ListParagraph">
    <w:name w:val="List Paragraph"/>
    <w:basedOn w:val="Normal"/>
    <w:uiPriority w:val="34"/>
    <w:qFormat/>
    <w:rsid w:val="00BC1550"/>
    <w:pPr>
      <w:ind w:left="720"/>
      <w:contextualSpacing/>
    </w:pPr>
  </w:style>
  <w:style w:type="paragraph" w:customStyle="1" w:styleId="EndNoteBibliography">
    <w:name w:val="EndNote Bibliography"/>
    <w:basedOn w:val="Normal"/>
    <w:link w:val="EndNoteBibliographyChar"/>
    <w:rsid w:val="00BC1550"/>
    <w:pPr>
      <w:spacing w:line="240" w:lineRule="auto"/>
      <w:jc w:val="both"/>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BC1550"/>
    <w:rPr>
      <w:rFonts w:ascii="Times New Roman" w:hAnsi="Times New Roman" w:cs="Times New Roman"/>
      <w:noProof/>
      <w:sz w:val="24"/>
    </w:rPr>
  </w:style>
  <w:style w:type="paragraph" w:styleId="Caption">
    <w:name w:val="caption"/>
    <w:basedOn w:val="Normal"/>
    <w:next w:val="Normal"/>
    <w:autoRedefine/>
    <w:uiPriority w:val="35"/>
    <w:unhideWhenUsed/>
    <w:qFormat/>
    <w:rsid w:val="00BC1550"/>
    <w:pPr>
      <w:spacing w:before="100" w:beforeAutospacing="1" w:after="360" w:line="360" w:lineRule="auto"/>
      <w:jc w:val="both"/>
    </w:pPr>
    <w:rPr>
      <w:rFonts w:ascii="Times New Roman" w:hAnsi="Times New Roman"/>
      <w:iCs/>
      <w:sz w:val="24"/>
      <w:szCs w:val="18"/>
    </w:rPr>
  </w:style>
  <w:style w:type="table" w:styleId="TableGrid">
    <w:name w:val="Table Grid"/>
    <w:basedOn w:val="TableNormal"/>
    <w:uiPriority w:val="39"/>
    <w:rsid w:val="00BC15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C15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83A16C22</Template>
  <TotalTime>0</TotalTime>
  <Pages>5</Pages>
  <Words>760</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University of Adelaide</Company>
  <LinksUpToDate>false</LinksUpToDate>
  <CharactersWithSpaces>5088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Georgia Weston Hill</dc:creator>
  <cp:keywords/>
  <dc:description/>
  <cp:lastModifiedBy>Katherine Georgia Weston Hill</cp:lastModifiedBy>
  <cp:revision>1</cp:revision>
  <dcterms:created xsi:type="dcterms:W3CDTF">2020-02-18T01:12:00Z</dcterms:created>
  <dcterms:modified xsi:type="dcterms:W3CDTF">2020-02-18T01:13:00Z</dcterms:modified>
</cp:coreProperties>
</file>