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777" w:rsidRPr="00A51777" w:rsidRDefault="00A51777" w:rsidP="00A51777">
      <w:pPr>
        <w:jc w:val="center"/>
        <w:rPr>
          <w:b/>
          <w:i/>
          <w:sz w:val="24"/>
        </w:rPr>
      </w:pPr>
      <w:r w:rsidRPr="00A51777">
        <w:rPr>
          <w:b/>
          <w:sz w:val="24"/>
        </w:rPr>
        <w:t xml:space="preserve">Fine-scale interactions between habitat quality and genetic variation suggest an impact of grazing on the critically endangered grasshopper, </w:t>
      </w:r>
      <w:proofErr w:type="spellStart"/>
      <w:r w:rsidRPr="00A51777">
        <w:rPr>
          <w:b/>
          <w:i/>
          <w:sz w:val="24"/>
        </w:rPr>
        <w:t>Prionotropis</w:t>
      </w:r>
      <w:proofErr w:type="spellEnd"/>
      <w:r w:rsidRPr="00A51777">
        <w:rPr>
          <w:b/>
          <w:i/>
          <w:sz w:val="24"/>
        </w:rPr>
        <w:t xml:space="preserve"> </w:t>
      </w:r>
      <w:proofErr w:type="spellStart"/>
      <w:r w:rsidRPr="00A51777">
        <w:rPr>
          <w:b/>
          <w:i/>
          <w:sz w:val="24"/>
        </w:rPr>
        <w:t>rhodanica</w:t>
      </w:r>
      <w:proofErr w:type="spellEnd"/>
    </w:p>
    <w:p w:rsidR="00A51777" w:rsidRPr="00A51777" w:rsidRDefault="00A51777" w:rsidP="00A51777">
      <w:pPr>
        <w:jc w:val="center"/>
        <w:rPr>
          <w:b/>
          <w:sz w:val="24"/>
        </w:rPr>
      </w:pPr>
      <w:r w:rsidRPr="00A51777">
        <w:rPr>
          <w:b/>
          <w:sz w:val="24"/>
        </w:rPr>
        <w:t>–</w:t>
      </w:r>
    </w:p>
    <w:p w:rsidR="00A51777" w:rsidRPr="00A51777" w:rsidRDefault="00A51777" w:rsidP="00A51777">
      <w:pPr>
        <w:jc w:val="center"/>
        <w:rPr>
          <w:b/>
          <w:sz w:val="24"/>
        </w:rPr>
      </w:pPr>
      <w:r w:rsidRPr="00A51777">
        <w:rPr>
          <w:b/>
          <w:sz w:val="24"/>
        </w:rPr>
        <w:t>Appendix</w:t>
      </w:r>
    </w:p>
    <w:p w:rsidR="00A51777" w:rsidRPr="00A51777" w:rsidRDefault="00A51777" w:rsidP="00A51777">
      <w:pPr>
        <w:rPr>
          <w:b/>
          <w:sz w:val="28"/>
          <w:szCs w:val="28"/>
        </w:rPr>
      </w:pPr>
    </w:p>
    <w:p w:rsidR="00A51777" w:rsidRDefault="00A51777" w:rsidP="00A51777">
      <w:pPr>
        <w:spacing w:after="0"/>
        <w:rPr>
          <w:sz w:val="24"/>
        </w:rPr>
      </w:pPr>
      <w:bookmarkStart w:id="0" w:name="_GoBack"/>
      <w:proofErr w:type="spellStart"/>
      <w:r w:rsidRPr="00A51777">
        <w:rPr>
          <w:sz w:val="24"/>
        </w:rPr>
        <w:t>Piry</w:t>
      </w:r>
      <w:proofErr w:type="spellEnd"/>
      <w:r w:rsidRPr="00A51777">
        <w:rPr>
          <w:sz w:val="24"/>
        </w:rPr>
        <w:t xml:space="preserve"> S.</w:t>
      </w:r>
      <w:r w:rsidRPr="00A51777">
        <w:rPr>
          <w:sz w:val="24"/>
          <w:vertAlign w:val="superscript"/>
        </w:rPr>
        <w:t>1</w:t>
      </w:r>
      <w:r w:rsidRPr="00A51777">
        <w:rPr>
          <w:sz w:val="24"/>
        </w:rPr>
        <w:t>*, Berthier K.</w:t>
      </w:r>
      <w:r w:rsidRPr="00A51777">
        <w:rPr>
          <w:sz w:val="24"/>
          <w:vertAlign w:val="superscript"/>
        </w:rPr>
        <w:t>2</w:t>
      </w:r>
      <w:r w:rsidRPr="00A51777">
        <w:rPr>
          <w:sz w:val="24"/>
        </w:rPr>
        <w:t xml:space="preserve">*, </w:t>
      </w:r>
      <w:proofErr w:type="spellStart"/>
      <w:r w:rsidRPr="00A51777">
        <w:rPr>
          <w:sz w:val="24"/>
        </w:rPr>
        <w:t>Streiff</w:t>
      </w:r>
      <w:proofErr w:type="spellEnd"/>
      <w:r w:rsidRPr="00A51777">
        <w:rPr>
          <w:sz w:val="24"/>
        </w:rPr>
        <w:t>, R.</w:t>
      </w:r>
      <w:r w:rsidRPr="00A51777">
        <w:rPr>
          <w:sz w:val="24"/>
          <w:vertAlign w:val="superscript"/>
        </w:rPr>
        <w:t>1</w:t>
      </w:r>
      <w:r w:rsidRPr="00A51777">
        <w:rPr>
          <w:sz w:val="24"/>
        </w:rPr>
        <w:t xml:space="preserve">, </w:t>
      </w:r>
      <w:proofErr w:type="spellStart"/>
      <w:r w:rsidRPr="00A51777">
        <w:rPr>
          <w:sz w:val="24"/>
        </w:rPr>
        <w:t>Cros-Arteil</w:t>
      </w:r>
      <w:proofErr w:type="spellEnd"/>
      <w:r w:rsidRPr="00A51777">
        <w:rPr>
          <w:sz w:val="24"/>
        </w:rPr>
        <w:t xml:space="preserve"> S.</w:t>
      </w:r>
      <w:r w:rsidRPr="00A51777">
        <w:rPr>
          <w:sz w:val="24"/>
          <w:vertAlign w:val="superscript"/>
        </w:rPr>
        <w:t>3</w:t>
      </w:r>
      <w:r w:rsidRPr="00A51777">
        <w:rPr>
          <w:sz w:val="24"/>
        </w:rPr>
        <w:t xml:space="preserve">, </w:t>
      </w:r>
      <w:proofErr w:type="spellStart"/>
      <w:r w:rsidRPr="00A51777">
        <w:rPr>
          <w:sz w:val="24"/>
        </w:rPr>
        <w:t>Foucart</w:t>
      </w:r>
      <w:proofErr w:type="spellEnd"/>
      <w:r w:rsidRPr="00A51777">
        <w:rPr>
          <w:sz w:val="24"/>
        </w:rPr>
        <w:t xml:space="preserve"> A.</w:t>
      </w:r>
      <w:r w:rsidRPr="00A51777">
        <w:rPr>
          <w:sz w:val="24"/>
          <w:vertAlign w:val="superscript"/>
        </w:rPr>
        <w:t>4</w:t>
      </w:r>
      <w:r w:rsidR="00AA3DA0">
        <w:rPr>
          <w:sz w:val="24"/>
          <w:vertAlign w:val="superscript"/>
        </w:rPr>
        <w:t>,5</w:t>
      </w:r>
      <w:r w:rsidRPr="00A51777">
        <w:rPr>
          <w:sz w:val="24"/>
        </w:rPr>
        <w:t>, Tatin L.</w:t>
      </w:r>
      <w:r w:rsidR="00AA3DA0">
        <w:rPr>
          <w:sz w:val="24"/>
          <w:vertAlign w:val="superscript"/>
        </w:rPr>
        <w:t>6</w:t>
      </w:r>
      <w:r w:rsidRPr="00A51777">
        <w:rPr>
          <w:sz w:val="24"/>
        </w:rPr>
        <w:t xml:space="preserve">, </w:t>
      </w:r>
      <w:proofErr w:type="spellStart"/>
      <w:r w:rsidRPr="00A51777">
        <w:rPr>
          <w:sz w:val="24"/>
        </w:rPr>
        <w:t>Bröder</w:t>
      </w:r>
      <w:proofErr w:type="spellEnd"/>
      <w:r w:rsidRPr="00A51777">
        <w:rPr>
          <w:sz w:val="24"/>
        </w:rPr>
        <w:t xml:space="preserve"> L.</w:t>
      </w:r>
      <w:r w:rsidR="00AA3DA0">
        <w:rPr>
          <w:sz w:val="24"/>
          <w:vertAlign w:val="superscript"/>
        </w:rPr>
        <w:t>7</w:t>
      </w:r>
      <w:r w:rsidRPr="00A51777">
        <w:rPr>
          <w:sz w:val="24"/>
        </w:rPr>
        <w:t xml:space="preserve">, </w:t>
      </w:r>
      <w:proofErr w:type="spellStart"/>
      <w:r w:rsidRPr="00A51777">
        <w:rPr>
          <w:sz w:val="24"/>
        </w:rPr>
        <w:t>Hochkirch</w:t>
      </w:r>
      <w:proofErr w:type="spellEnd"/>
      <w:r w:rsidRPr="00A51777">
        <w:rPr>
          <w:sz w:val="24"/>
        </w:rPr>
        <w:t xml:space="preserve"> A.</w:t>
      </w:r>
      <w:r w:rsidR="00AA3DA0">
        <w:rPr>
          <w:sz w:val="24"/>
          <w:vertAlign w:val="superscript"/>
        </w:rPr>
        <w:t>7</w:t>
      </w:r>
      <w:r w:rsidRPr="00A51777">
        <w:rPr>
          <w:sz w:val="24"/>
        </w:rPr>
        <w:t xml:space="preserve">, and </w:t>
      </w:r>
      <w:proofErr w:type="spellStart"/>
      <w:r w:rsidRPr="00A51777">
        <w:rPr>
          <w:sz w:val="24"/>
        </w:rPr>
        <w:t>Chapuis</w:t>
      </w:r>
      <w:proofErr w:type="spellEnd"/>
      <w:r w:rsidRPr="00A51777">
        <w:rPr>
          <w:sz w:val="24"/>
        </w:rPr>
        <w:t xml:space="preserve"> M.-P.</w:t>
      </w:r>
      <w:r w:rsidR="00AA3DA0" w:rsidRPr="00AA3DA0">
        <w:rPr>
          <w:sz w:val="24"/>
          <w:vertAlign w:val="superscript"/>
        </w:rPr>
        <w:t xml:space="preserve"> </w:t>
      </w:r>
      <w:r w:rsidR="00AA3DA0" w:rsidRPr="00A51777">
        <w:rPr>
          <w:sz w:val="24"/>
          <w:vertAlign w:val="superscript"/>
        </w:rPr>
        <w:t>4</w:t>
      </w:r>
      <w:proofErr w:type="gramStart"/>
      <w:r w:rsidR="00AA3DA0">
        <w:rPr>
          <w:sz w:val="24"/>
          <w:vertAlign w:val="superscript"/>
        </w:rPr>
        <w:t>,5</w:t>
      </w:r>
      <w:proofErr w:type="gramEnd"/>
      <w:r w:rsidRPr="00A51777">
        <w:rPr>
          <w:sz w:val="24"/>
        </w:rPr>
        <w:t xml:space="preserve"> </w:t>
      </w:r>
    </w:p>
    <w:bookmarkEnd w:id="0"/>
    <w:p w:rsidR="00A51777" w:rsidRPr="00A51777" w:rsidRDefault="00A51777" w:rsidP="00A51777">
      <w:pPr>
        <w:spacing w:after="0"/>
        <w:rPr>
          <w:sz w:val="24"/>
        </w:rPr>
      </w:pPr>
    </w:p>
    <w:p w:rsidR="00420274" w:rsidRPr="00420274" w:rsidRDefault="00420274" w:rsidP="00420274">
      <w:pPr>
        <w:autoSpaceDE w:val="0"/>
        <w:autoSpaceDN w:val="0"/>
        <w:adjustRightInd w:val="0"/>
        <w:spacing w:after="120" w:line="360" w:lineRule="auto"/>
        <w:ind w:right="-8"/>
        <w:rPr>
          <w:rFonts w:eastAsia="Times New Roman" w:cs="Times New Roman"/>
          <w:color w:val="000000"/>
          <w:kern w:val="1"/>
          <w:sz w:val="24"/>
          <w:lang w:val="fr-FR" w:bidi="hi-IN"/>
        </w:rPr>
      </w:pPr>
      <w:r w:rsidRPr="00420274">
        <w:rPr>
          <w:rFonts w:eastAsia="Times New Roman" w:cs="Times New Roman"/>
          <w:color w:val="000000"/>
          <w:kern w:val="1"/>
          <w:sz w:val="24"/>
          <w:vertAlign w:val="superscript"/>
          <w:lang w:val="fr-FR" w:bidi="hi-IN"/>
        </w:rPr>
        <w:t>1</w:t>
      </w:r>
      <w:r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 xml:space="preserve">CBGP, INRA, CIRAD, IRD, Montpellier </w:t>
      </w:r>
      <w:proofErr w:type="spellStart"/>
      <w:r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>SupAgro</w:t>
      </w:r>
      <w:proofErr w:type="spellEnd"/>
      <w:r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 xml:space="preserve">, </w:t>
      </w:r>
      <w:proofErr w:type="spellStart"/>
      <w:r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>Univ</w:t>
      </w:r>
      <w:proofErr w:type="spellEnd"/>
      <w:r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 xml:space="preserve"> Montpellier, Montpellier, France.</w:t>
      </w:r>
    </w:p>
    <w:p w:rsidR="00420274" w:rsidRPr="00420274" w:rsidRDefault="00420274" w:rsidP="00420274">
      <w:pPr>
        <w:autoSpaceDE w:val="0"/>
        <w:autoSpaceDN w:val="0"/>
        <w:adjustRightInd w:val="0"/>
        <w:spacing w:after="120" w:line="360" w:lineRule="auto"/>
        <w:ind w:right="-8"/>
        <w:rPr>
          <w:rFonts w:eastAsia="Times New Roman" w:cs="Times New Roman"/>
          <w:color w:val="000000"/>
          <w:kern w:val="1"/>
          <w:sz w:val="24"/>
          <w:lang w:val="fr-FR" w:bidi="hi-IN"/>
        </w:rPr>
      </w:pPr>
      <w:r w:rsidRPr="00420274">
        <w:rPr>
          <w:rFonts w:eastAsia="Times New Roman" w:cs="Times New Roman"/>
          <w:color w:val="000000"/>
          <w:kern w:val="1"/>
          <w:sz w:val="24"/>
          <w:vertAlign w:val="superscript"/>
          <w:lang w:val="fr-FR" w:bidi="hi-IN"/>
        </w:rPr>
        <w:t>2</w:t>
      </w:r>
      <w:r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 xml:space="preserve">Pathologie Végétale, INRA, 84140 </w:t>
      </w:r>
      <w:proofErr w:type="spellStart"/>
      <w:r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>Montfavet</w:t>
      </w:r>
      <w:proofErr w:type="spellEnd"/>
      <w:r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>, France.</w:t>
      </w:r>
    </w:p>
    <w:p w:rsidR="00420274" w:rsidRPr="00420274" w:rsidRDefault="00420274" w:rsidP="00420274">
      <w:pPr>
        <w:autoSpaceDE w:val="0"/>
        <w:autoSpaceDN w:val="0"/>
        <w:adjustRightInd w:val="0"/>
        <w:spacing w:after="120" w:line="360" w:lineRule="auto"/>
        <w:ind w:right="-8"/>
        <w:rPr>
          <w:rFonts w:eastAsia="Times New Roman" w:cs="Times New Roman"/>
          <w:color w:val="000000"/>
          <w:kern w:val="1"/>
          <w:sz w:val="24"/>
          <w:lang w:val="fr-FR" w:bidi="hi-IN"/>
        </w:rPr>
      </w:pPr>
      <w:r w:rsidRPr="00420274">
        <w:rPr>
          <w:rFonts w:eastAsia="Times New Roman" w:cs="Times New Roman"/>
          <w:color w:val="000000"/>
          <w:kern w:val="1"/>
          <w:sz w:val="24"/>
          <w:vertAlign w:val="superscript"/>
          <w:lang w:val="fr-FR" w:bidi="hi-IN"/>
        </w:rPr>
        <w:t>3</w:t>
      </w:r>
      <w:r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 xml:space="preserve">BGPI, INRA, Montpellier </w:t>
      </w:r>
      <w:proofErr w:type="spellStart"/>
      <w:r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>SupAgro</w:t>
      </w:r>
      <w:proofErr w:type="spellEnd"/>
      <w:r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>, CIRAD, Montpellier, France.</w:t>
      </w:r>
    </w:p>
    <w:p w:rsidR="00420274" w:rsidRPr="00420274" w:rsidRDefault="00420274" w:rsidP="00420274">
      <w:pPr>
        <w:autoSpaceDE w:val="0"/>
        <w:autoSpaceDN w:val="0"/>
        <w:adjustRightInd w:val="0"/>
        <w:spacing w:after="120" w:line="360" w:lineRule="auto"/>
        <w:ind w:right="-8"/>
        <w:rPr>
          <w:rFonts w:eastAsia="Times New Roman" w:cs="Times New Roman"/>
          <w:color w:val="000000"/>
          <w:kern w:val="1"/>
          <w:sz w:val="24"/>
          <w:lang w:val="fr-FR" w:bidi="hi-IN"/>
        </w:rPr>
      </w:pPr>
      <w:r w:rsidRPr="00420274">
        <w:rPr>
          <w:rFonts w:eastAsia="Times New Roman" w:cs="Times New Roman"/>
          <w:color w:val="000000"/>
          <w:kern w:val="1"/>
          <w:sz w:val="24"/>
          <w:vertAlign w:val="superscript"/>
          <w:lang w:val="fr-FR" w:bidi="hi-IN"/>
        </w:rPr>
        <w:t>4</w:t>
      </w:r>
      <w:r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>CIRAD, CBGP, Montpellier, France.</w:t>
      </w:r>
    </w:p>
    <w:p w:rsidR="00420274" w:rsidRPr="00420274" w:rsidRDefault="00AA3DA0" w:rsidP="00420274">
      <w:pPr>
        <w:autoSpaceDE w:val="0"/>
        <w:autoSpaceDN w:val="0"/>
        <w:adjustRightInd w:val="0"/>
        <w:spacing w:after="120" w:line="360" w:lineRule="auto"/>
        <w:ind w:right="-8"/>
        <w:rPr>
          <w:rFonts w:eastAsia="Times New Roman" w:cs="Times New Roman"/>
          <w:color w:val="000000"/>
          <w:kern w:val="1"/>
          <w:sz w:val="24"/>
          <w:lang w:val="fr-FR" w:bidi="hi-IN"/>
        </w:rPr>
      </w:pPr>
      <w:r>
        <w:rPr>
          <w:rFonts w:eastAsia="Times New Roman" w:cs="Times New Roman"/>
          <w:color w:val="000000"/>
          <w:kern w:val="1"/>
          <w:sz w:val="24"/>
          <w:vertAlign w:val="superscript"/>
          <w:lang w:val="fr-FR" w:bidi="hi-IN"/>
        </w:rPr>
        <w:t>5</w:t>
      </w:r>
      <w:r w:rsidR="00420274"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 xml:space="preserve">CBGP, CIRAD, INRA, IRD,  Montpellier </w:t>
      </w:r>
      <w:proofErr w:type="spellStart"/>
      <w:r w:rsidR="00420274"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>SupAgro</w:t>
      </w:r>
      <w:proofErr w:type="spellEnd"/>
      <w:r w:rsidR="00420274"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 xml:space="preserve">, </w:t>
      </w:r>
      <w:proofErr w:type="spellStart"/>
      <w:r w:rsidR="00420274"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>Univ</w:t>
      </w:r>
      <w:proofErr w:type="spellEnd"/>
      <w:r w:rsidR="00420274"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 xml:space="preserve"> Montpellier, Montpellier, France.</w:t>
      </w:r>
    </w:p>
    <w:p w:rsidR="00420274" w:rsidRPr="00420274" w:rsidRDefault="00AA3DA0" w:rsidP="00420274">
      <w:pPr>
        <w:autoSpaceDE w:val="0"/>
        <w:autoSpaceDN w:val="0"/>
        <w:adjustRightInd w:val="0"/>
        <w:spacing w:after="120" w:line="360" w:lineRule="auto"/>
        <w:ind w:right="-8"/>
        <w:rPr>
          <w:rFonts w:eastAsia="Times New Roman" w:cs="Times New Roman"/>
          <w:color w:val="000000"/>
          <w:kern w:val="1"/>
          <w:sz w:val="24"/>
          <w:lang w:val="fr-FR" w:bidi="hi-IN"/>
        </w:rPr>
      </w:pPr>
      <w:r>
        <w:rPr>
          <w:rFonts w:eastAsia="Times New Roman" w:cs="Times New Roman"/>
          <w:color w:val="000000"/>
          <w:kern w:val="1"/>
          <w:sz w:val="24"/>
          <w:vertAlign w:val="superscript"/>
          <w:lang w:val="fr-FR" w:bidi="hi-IN"/>
        </w:rPr>
        <w:t>6</w:t>
      </w:r>
      <w:r w:rsidR="00420274" w:rsidRPr="00420274">
        <w:rPr>
          <w:rFonts w:eastAsia="Times New Roman" w:cs="Times New Roman"/>
          <w:color w:val="000000"/>
          <w:kern w:val="1"/>
          <w:sz w:val="24"/>
          <w:lang w:val="fr-FR" w:bidi="hi-IN"/>
        </w:rPr>
        <w:t>Conservatoire d'espaces naturels de Provence Alpes Côte d'Azur, 13310 Saint-Martin-de-Crau.</w:t>
      </w:r>
    </w:p>
    <w:p w:rsidR="00420274" w:rsidRPr="00420274" w:rsidRDefault="00AA3DA0" w:rsidP="00420274">
      <w:pPr>
        <w:autoSpaceDE w:val="0"/>
        <w:autoSpaceDN w:val="0"/>
        <w:adjustRightInd w:val="0"/>
        <w:spacing w:after="120" w:line="360" w:lineRule="auto"/>
        <w:ind w:right="-8"/>
        <w:rPr>
          <w:rFonts w:eastAsia="Times New Roman" w:cs="Times New Roman"/>
          <w:color w:val="000000"/>
          <w:kern w:val="1"/>
          <w:sz w:val="24"/>
          <w:lang w:bidi="hi-IN"/>
        </w:rPr>
      </w:pPr>
      <w:proofErr w:type="gramStart"/>
      <w:r>
        <w:rPr>
          <w:rFonts w:eastAsia="Times New Roman" w:cs="Times New Roman"/>
          <w:color w:val="000000"/>
          <w:kern w:val="1"/>
          <w:sz w:val="24"/>
          <w:vertAlign w:val="superscript"/>
          <w:lang w:bidi="hi-IN"/>
        </w:rPr>
        <w:t>7</w:t>
      </w:r>
      <w:r w:rsidR="00420274" w:rsidRPr="00420274">
        <w:rPr>
          <w:rFonts w:eastAsia="Times New Roman" w:cs="Times New Roman"/>
          <w:color w:val="000000"/>
          <w:kern w:val="1"/>
          <w:sz w:val="24"/>
          <w:lang w:bidi="hi-IN"/>
        </w:rPr>
        <w:t>Department of Biogeography, Trier University, D-54286 Trier, Germany.</w:t>
      </w:r>
      <w:proofErr w:type="gramEnd"/>
    </w:p>
    <w:p w:rsidR="00A51777" w:rsidRPr="00A51777" w:rsidRDefault="00A51777" w:rsidP="00A51777">
      <w:pPr>
        <w:spacing w:after="0"/>
        <w:rPr>
          <w:sz w:val="24"/>
        </w:rPr>
      </w:pPr>
      <w:r w:rsidRPr="00A51777">
        <w:rPr>
          <w:sz w:val="24"/>
        </w:rPr>
        <w:t>*equal contribution</w:t>
      </w:r>
    </w:p>
    <w:p w:rsidR="00A51777" w:rsidRDefault="00A51777"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 w:rsidR="009308B2" w:rsidRDefault="006C4FFF" w:rsidP="00D33425">
      <w:pPr>
        <w:spacing w:line="240" w:lineRule="auto"/>
        <w:rPr>
          <w:sz w:val="22"/>
          <w:szCs w:val="22"/>
        </w:rPr>
      </w:pPr>
      <w:r>
        <w:rPr>
          <w:b/>
          <w:sz w:val="22"/>
          <w:szCs w:val="22"/>
        </w:rPr>
        <w:lastRenderedPageBreak/>
        <w:t>Table S1</w:t>
      </w:r>
      <w:r>
        <w:rPr>
          <w:sz w:val="22"/>
          <w:szCs w:val="22"/>
        </w:rPr>
        <w:t xml:space="preserve"> – Detail of the circle-based sampling indicating for each circle: its name (Circle), its grid, (Grid), its radius, the date of prospection (Date), the coordinates of its center (latitude/longitude WGS84, EPSG:</w:t>
      </w:r>
      <w:r w:rsidR="00D33425">
        <w:rPr>
          <w:sz w:val="22"/>
          <w:szCs w:val="22"/>
        </w:rPr>
        <w:t xml:space="preserve"> </w:t>
      </w:r>
      <w:r>
        <w:rPr>
          <w:sz w:val="22"/>
          <w:szCs w:val="22"/>
        </w:rPr>
        <w:t>4326) (Latitude, Longitude), the number of individuals sampled (</w:t>
      </w:r>
      <w:proofErr w:type="spellStart"/>
      <w:r>
        <w:rPr>
          <w:sz w:val="22"/>
          <w:szCs w:val="22"/>
        </w:rPr>
        <w:t>Nb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ind</w:t>
      </w:r>
      <w:proofErr w:type="spellEnd"/>
      <w:proofErr w:type="gramEnd"/>
      <w:r>
        <w:rPr>
          <w:sz w:val="22"/>
          <w:szCs w:val="22"/>
        </w:rPr>
        <w:t xml:space="preserve">), the grasshopper density in individuals per hectare (Density) and the mean value of </w:t>
      </w:r>
      <w:r w:rsidR="001D51FF">
        <w:rPr>
          <w:sz w:val="22"/>
          <w:szCs w:val="22"/>
        </w:rPr>
        <w:t xml:space="preserve">rescaled </w:t>
      </w:r>
      <w:r>
        <w:rPr>
          <w:sz w:val="22"/>
          <w:szCs w:val="22"/>
        </w:rPr>
        <w:t>NDVI (NDVI).</w:t>
      </w:r>
    </w:p>
    <w:tbl>
      <w:tblPr>
        <w:tblW w:w="866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2"/>
        <w:gridCol w:w="962"/>
        <w:gridCol w:w="963"/>
        <w:gridCol w:w="962"/>
        <w:gridCol w:w="963"/>
        <w:gridCol w:w="962"/>
        <w:gridCol w:w="963"/>
        <w:gridCol w:w="962"/>
        <w:gridCol w:w="963"/>
      </w:tblGrid>
      <w:tr w:rsidR="009308B2">
        <w:trPr>
          <w:trHeight w:val="280"/>
        </w:trPr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spacing w:line="240" w:lineRule="auto"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Grid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spacing w:line="240" w:lineRule="auto"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hAnsi="Arial" w:cs="Arial"/>
                <w:color w:val="3B3631"/>
                <w:sz w:val="16"/>
                <w:szCs w:val="16"/>
              </w:rPr>
              <w:t>Circle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spacing w:line="240" w:lineRule="auto"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Radius (m)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spacing w:line="240" w:lineRule="auto"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Date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spacing w:line="240" w:lineRule="auto"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 xml:space="preserve">Latitude 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spacing w:line="240" w:lineRule="auto"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 xml:space="preserve">Longitude 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spacing w:line="240" w:lineRule="auto"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proofErr w:type="spellStart"/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Nb</w:t>
            </w:r>
            <w:proofErr w:type="spellEnd"/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ind</w:t>
            </w:r>
            <w:proofErr w:type="spellEnd"/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spacing w:line="240" w:lineRule="auto"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 xml:space="preserve">Density 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spacing w:line="240" w:lineRule="auto"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 xml:space="preserve">NDVI 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A00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43,546267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4,828405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4241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A01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43,548290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4,828482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4135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A02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43,544189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4,831099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4084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A03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43,546255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4,831204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3804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A04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43,548244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4,831290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4117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A05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43,550273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4,831351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4070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A06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43,542041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4,833789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4010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A07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43,544113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4,833932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3642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A08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43,546104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4,834060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3660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A09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43,548127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4,834119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3714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A10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43,550176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4,834185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3787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A11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43,552263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4,834219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3948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A12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43,541989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4,836660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3789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A13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43,544018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4,836728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3759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A14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43,546055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4,836813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3765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A15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43,548114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4,836913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3607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A16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43,550145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4,836982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3746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A17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43,552152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4,837059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3715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A18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43,543948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4,839523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3774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A19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43,545980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4,839590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3740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A20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43,548014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4,839677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3668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A21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43,550063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4,839790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3859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A22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43,552093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4,839880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4162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A23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43,554130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4,839944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51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4137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A24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43,545928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4,842423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3803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A25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43,547943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4,842561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3835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A26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43,550021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4,842556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4159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A27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43,552029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4,842653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9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46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4363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lastRenderedPageBreak/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A28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43,554073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4,842702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19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97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4167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43,556081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4,842808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8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4296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A30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43,547880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4,845294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3992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A31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43,549915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4,845375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4051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A32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43,551971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4,845444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7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4339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A33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43,554006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4,845532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4511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A34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43,556052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4,845593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4367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A35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43,549887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4,848158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4244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A36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43,551951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4,848263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4361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A37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43,553996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4,848305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4361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A38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43,556044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4,848391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61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4323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A39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43,549841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4,850945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4692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A40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43,551872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4,851023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4182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A41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43,553846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4,851142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107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4161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A42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43,555905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4,851173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17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87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4326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A43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43,551784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4,853824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4042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A44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43,553802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4,853905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4062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A45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43,555844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4,854012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4094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A46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43,555781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4,856803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4124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A47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43,557820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4,856924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8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4334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A63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43,553711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4,859515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4083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A64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43,555744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4,859601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4079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A65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43,557763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4,859696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4086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B04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43,543081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4,832502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3888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B09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43,541015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4,835229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4200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B10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43,543048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4,835356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3665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B11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43,545002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4,835380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3730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B16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43,542940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4,838118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4024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B21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43,553120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4,838504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3882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B25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43,551032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4,841178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3891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B26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43,553066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4,841280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4326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B27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43,555130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4,841379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4234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43,548946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4,843892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4005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lastRenderedPageBreak/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B30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43,551098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4,843989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4107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B31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43,553033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4,844086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8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4098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B32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43,555057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4,844174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4399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B33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43,557099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4,844257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4737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B34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43,548883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4,846700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4065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B35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43,550925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4,846785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4145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B36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43,552952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4,846877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4590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B37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43,555004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4,846978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4509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B38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43,556992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4,847102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4382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B40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43,550848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4,849593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4176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B41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43,552896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4,849675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4155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B42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43,554919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4,849767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76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4347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B43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43,556955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4,849840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26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133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4286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B44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2001-05-30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43,550806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4,852386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4380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B45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43,552815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4,852447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4170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B47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43,556884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4,852607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7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4125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B48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43,552731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4,855278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4096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B49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2001-05-28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43,554822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4,855233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3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4007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B50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43,556819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4,855407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4100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B51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2001-05-27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43,558797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4,858315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</w:p>
        </w:tc>
        <w:tc>
          <w:tcPr>
            <w:tcW w:w="962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25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6</w:t>
            </w:r>
          </w:p>
        </w:tc>
        <w:tc>
          <w:tcPr>
            <w:tcW w:w="963" w:type="dxa"/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4368</w:t>
            </w:r>
          </w:p>
        </w:tc>
      </w:tr>
      <w:tr w:rsidR="009308B2">
        <w:trPr>
          <w:cantSplit/>
          <w:trHeight w:hRule="exact" w:val="397"/>
        </w:trPr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</w:tcPr>
          <w:p w:rsidR="009308B2" w:rsidRDefault="009308B2">
            <w:pPr>
              <w:jc w:val="center"/>
              <w:rPr>
                <w:rFonts w:ascii="Arial" w:hAnsi="Arial" w:cs="Arial"/>
                <w:color w:val="3B3631"/>
                <w:sz w:val="16"/>
                <w:szCs w:val="16"/>
              </w:rPr>
            </w:pP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C1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50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2001-05-25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43,554523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4,852688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55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70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5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</w:tcPr>
          <w:p w:rsidR="009308B2" w:rsidRDefault="006C4FFF">
            <w:pPr>
              <w:widowControl/>
              <w:jc w:val="center"/>
              <w:textAlignment w:val="top"/>
              <w:rPr>
                <w:rFonts w:ascii="Arial" w:hAnsi="Arial" w:cs="Arial"/>
                <w:color w:val="3B3631"/>
                <w:sz w:val="16"/>
                <w:szCs w:val="16"/>
              </w:rPr>
            </w:pP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0</w:t>
            </w:r>
            <w:r w:rsidR="005845D5"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.</w:t>
            </w:r>
            <w:r>
              <w:rPr>
                <w:rFonts w:ascii="Arial" w:eastAsia="SimSun" w:hAnsi="Arial" w:cs="Arial"/>
                <w:color w:val="3B3631"/>
                <w:kern w:val="0"/>
                <w:sz w:val="16"/>
                <w:szCs w:val="16"/>
              </w:rPr>
              <w:t>4214</w:t>
            </w:r>
          </w:p>
        </w:tc>
      </w:tr>
    </w:tbl>
    <w:p w:rsidR="009308B2" w:rsidRDefault="009308B2"/>
    <w:p w:rsidR="009308B2" w:rsidRDefault="009308B2">
      <w:pPr>
        <w:sectPr w:rsidR="009308B2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308B2" w:rsidRDefault="006C4FFF" w:rsidP="00422A29">
      <w:pPr>
        <w:rPr>
          <w:rFonts w:cs="Times New Roman"/>
          <w:sz w:val="22"/>
          <w:szCs w:val="22"/>
        </w:rPr>
      </w:pPr>
      <w:r>
        <w:rPr>
          <w:rFonts w:cs="Times New Roman"/>
          <w:b/>
          <w:sz w:val="22"/>
          <w:szCs w:val="22"/>
        </w:rPr>
        <w:lastRenderedPageBreak/>
        <w:t>Table S2.</w:t>
      </w:r>
      <w:r>
        <w:rPr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>Eleven microsatellite loci developed</w:t>
      </w:r>
      <w:r>
        <w:rPr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 xml:space="preserve">for </w:t>
      </w:r>
      <w:proofErr w:type="spellStart"/>
      <w:r>
        <w:rPr>
          <w:rFonts w:cs="Times New Roman"/>
          <w:i/>
          <w:sz w:val="22"/>
          <w:szCs w:val="22"/>
        </w:rPr>
        <w:t>Prionotropis</w:t>
      </w:r>
      <w:proofErr w:type="spellEnd"/>
      <w:r>
        <w:rPr>
          <w:rFonts w:cs="Times New Roman"/>
          <w:i/>
          <w:sz w:val="22"/>
          <w:szCs w:val="22"/>
        </w:rPr>
        <w:t xml:space="preserve"> </w:t>
      </w:r>
      <w:proofErr w:type="spellStart"/>
      <w:r>
        <w:rPr>
          <w:rFonts w:cs="Times New Roman"/>
          <w:i/>
          <w:sz w:val="22"/>
          <w:szCs w:val="22"/>
        </w:rPr>
        <w:t>rhodanica</w:t>
      </w:r>
      <w:proofErr w:type="spellEnd"/>
      <w:r>
        <w:rPr>
          <w:rFonts w:cs="Times New Roman"/>
          <w:sz w:val="22"/>
          <w:szCs w:val="22"/>
        </w:rPr>
        <w:t xml:space="preserve">. </w:t>
      </w:r>
      <w:r>
        <w:rPr>
          <w:rFonts w:cs="Times New Roman"/>
          <w:color w:val="000000"/>
          <w:sz w:val="22"/>
          <w:szCs w:val="22"/>
        </w:rPr>
        <w:t xml:space="preserve">PCR and </w:t>
      </w:r>
      <w:proofErr w:type="spellStart"/>
      <w:r>
        <w:rPr>
          <w:rFonts w:cs="Times New Roman"/>
          <w:color w:val="000000"/>
          <w:sz w:val="22"/>
          <w:szCs w:val="22"/>
        </w:rPr>
        <w:t>eletrophoresis</w:t>
      </w:r>
      <w:proofErr w:type="spellEnd"/>
      <w:r>
        <w:rPr>
          <w:rFonts w:cs="Times New Roman"/>
          <w:color w:val="000000"/>
          <w:sz w:val="22"/>
          <w:szCs w:val="22"/>
        </w:rPr>
        <w:t xml:space="preserve"> multiplex sets and conditions were updated compared to previous studies. </w:t>
      </w:r>
      <w:r>
        <w:rPr>
          <w:rFonts w:cs="Times New Roman"/>
          <w:sz w:val="22"/>
          <w:szCs w:val="22"/>
        </w:rPr>
        <w:t>The observed size range was computed from the 266 individuals sampled for the present study.</w:t>
      </w:r>
    </w:p>
    <w:tbl>
      <w:tblPr>
        <w:tblW w:w="14415" w:type="dxa"/>
        <w:tblInd w:w="-533" w:type="dxa"/>
        <w:tblBorders>
          <w:top w:val="single" w:sz="4" w:space="0" w:color="BFBFBF"/>
          <w:left w:val="single" w:sz="4" w:space="0" w:color="BFBFBF"/>
          <w:right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374"/>
        <w:gridCol w:w="4111"/>
        <w:gridCol w:w="2976"/>
        <w:gridCol w:w="1134"/>
        <w:gridCol w:w="1560"/>
        <w:gridCol w:w="1701"/>
        <w:gridCol w:w="1559"/>
      </w:tblGrid>
      <w:tr w:rsidR="009308B2">
        <w:trPr>
          <w:trHeight w:val="397"/>
        </w:trPr>
        <w:tc>
          <w:tcPr>
            <w:tcW w:w="1374" w:type="dxa"/>
            <w:tcBorders>
              <w:top w:val="single" w:sz="12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Locus</w:t>
            </w:r>
          </w:p>
        </w:tc>
        <w:tc>
          <w:tcPr>
            <w:tcW w:w="4111" w:type="dxa"/>
            <w:tcBorders>
              <w:top w:val="single" w:sz="12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Primer sequences (5’-3’)</w:t>
            </w:r>
          </w:p>
        </w:tc>
        <w:tc>
          <w:tcPr>
            <w:tcW w:w="2976" w:type="dxa"/>
            <w:tcBorders>
              <w:top w:val="single" w:sz="12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Core repeat units</w:t>
            </w:r>
          </w:p>
        </w:tc>
        <w:tc>
          <w:tcPr>
            <w:tcW w:w="1134" w:type="dxa"/>
            <w:tcBorders>
              <w:top w:val="single" w:sz="12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Dye</w:t>
            </w:r>
          </w:p>
        </w:tc>
        <w:tc>
          <w:tcPr>
            <w:tcW w:w="1560" w:type="dxa"/>
            <w:tcBorders>
              <w:top w:val="single" w:sz="12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 xml:space="preserve">PCR </w:t>
            </w:r>
          </w:p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multiplex set</w:t>
            </w:r>
            <w:r>
              <w:rPr>
                <w:rFonts w:eastAsia="CourierNewPSMT" w:cs="Times New Roman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01" w:type="dxa"/>
            <w:tcBorders>
              <w:top w:val="single" w:sz="12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Electrophoresis multiplex set</w:t>
            </w:r>
            <w:r>
              <w:rPr>
                <w:rFonts w:eastAsia="CourierNewPSMT" w:cs="Times New Roman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559" w:type="dxa"/>
            <w:tcBorders>
              <w:top w:val="single" w:sz="12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Size range (</w:t>
            </w:r>
            <w:proofErr w:type="spellStart"/>
            <w:r>
              <w:rPr>
                <w:rFonts w:eastAsia="CourierNewPSMT" w:cs="Times New Roman"/>
                <w:sz w:val="20"/>
                <w:szCs w:val="20"/>
              </w:rPr>
              <w:t>bp</w:t>
            </w:r>
            <w:proofErr w:type="spellEnd"/>
            <w:r>
              <w:rPr>
                <w:rFonts w:eastAsia="CourierNewPSMT" w:cs="Times New Roman"/>
                <w:sz w:val="20"/>
                <w:szCs w:val="20"/>
              </w:rPr>
              <w:t>)</w:t>
            </w:r>
          </w:p>
        </w:tc>
      </w:tr>
      <w:tr w:rsidR="009308B2">
        <w:tc>
          <w:tcPr>
            <w:tcW w:w="137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Phr880</w:t>
            </w:r>
            <w:r>
              <w:rPr>
                <w:rFonts w:eastAsia="CourierNewPSMT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11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F: GAAACAGCGCCTTAAAATTAGT</w:t>
            </w:r>
          </w:p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R: CTATGGGGTTGTAAGTTTCAGAC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(GT)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eastAsia="CourierNewPSMT" w:cs="Times New Roman"/>
                <w:sz w:val="20"/>
                <w:szCs w:val="20"/>
              </w:rPr>
              <w:t>A(TG)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eastAsia="CourierNewPSMT" w:cs="Times New Roman"/>
                <w:sz w:val="20"/>
                <w:szCs w:val="20"/>
              </w:rPr>
              <w:t>...(GT)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1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VIC</w:t>
            </w:r>
          </w:p>
        </w:tc>
        <w:tc>
          <w:tcPr>
            <w:tcW w:w="15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[155-199]</w:t>
            </w:r>
          </w:p>
        </w:tc>
      </w:tr>
      <w:tr w:rsidR="009308B2">
        <w:tc>
          <w:tcPr>
            <w:tcW w:w="137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Phr2T</w:t>
            </w:r>
            <w:r>
              <w:rPr>
                <w:rFonts w:eastAsia="CourierNewPSMT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11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F: CGTGTCAACCGCAAAGT</w:t>
            </w:r>
          </w:p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R: CAGAACCTGAAAATCAGCAG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(GT)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eastAsia="CourierNewPSMT" w:cs="Times New Roman"/>
                <w:sz w:val="20"/>
                <w:szCs w:val="20"/>
              </w:rPr>
              <w:t>A(TG)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1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FAM</w:t>
            </w:r>
          </w:p>
        </w:tc>
        <w:tc>
          <w:tcPr>
            <w:tcW w:w="15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[112-144]</w:t>
            </w:r>
          </w:p>
        </w:tc>
      </w:tr>
      <w:tr w:rsidR="009308B2">
        <w:tc>
          <w:tcPr>
            <w:tcW w:w="137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Phr228</w:t>
            </w:r>
            <w:r>
              <w:rPr>
                <w:rFonts w:eastAsia="CourierNewPSMT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11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F: ACCGATACTATGATGGTTCATTG</w:t>
            </w:r>
          </w:p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R: GCTTTGTCCAGTCTCTATCTCC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(CA)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eastAsia="CourierNewPSMT" w:cs="Times New Roman"/>
                <w:sz w:val="20"/>
                <w:szCs w:val="20"/>
              </w:rPr>
              <w:t>...(AC)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eastAsia="CourierNewPSMT" w:cs="Times New Roman"/>
                <w:sz w:val="20"/>
                <w:szCs w:val="20"/>
              </w:rPr>
              <w:t>(GCAC)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eastAsia="CourierNewPSMT" w:cs="Times New Roman"/>
                <w:sz w:val="20"/>
                <w:szCs w:val="20"/>
              </w:rPr>
              <w:t>(AC)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FAM</w:t>
            </w:r>
          </w:p>
        </w:tc>
        <w:tc>
          <w:tcPr>
            <w:tcW w:w="15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[259-273]</w:t>
            </w:r>
          </w:p>
        </w:tc>
      </w:tr>
      <w:tr w:rsidR="009308B2">
        <w:tc>
          <w:tcPr>
            <w:tcW w:w="137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Phr7178</w:t>
            </w:r>
            <w:r>
              <w:rPr>
                <w:rFonts w:eastAsia="CourierNewPSMT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11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F: AGAGTAGCCGAGAACACG</w:t>
            </w:r>
          </w:p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R: GATCCATCATTGTATTAACAC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(GT)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11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FAM</w:t>
            </w:r>
          </w:p>
        </w:tc>
        <w:tc>
          <w:tcPr>
            <w:tcW w:w="15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[107-115]</w:t>
            </w:r>
          </w:p>
        </w:tc>
      </w:tr>
      <w:tr w:rsidR="009308B2">
        <w:tc>
          <w:tcPr>
            <w:tcW w:w="137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Phr4H3b</w:t>
            </w:r>
            <w:r>
              <w:rPr>
                <w:rFonts w:eastAsia="CourierNewPSMT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11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F:ATGATGGGATCGCTGAC</w:t>
            </w:r>
          </w:p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R:GAGTATGGTAGCTTGTAAGAGG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(AG)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eastAsia="CourierNewPSMT" w:cs="Times New Roman"/>
                <w:sz w:val="20"/>
                <w:szCs w:val="20"/>
              </w:rPr>
              <w:t>...(AG)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eastAsia="CourierNewPSMT" w:cs="Times New Roman"/>
                <w:sz w:val="20"/>
                <w:szCs w:val="20"/>
              </w:rPr>
              <w:t>...(GC)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eastAsia="CourierNewPSMT" w:cs="Times New Roman"/>
                <w:sz w:val="20"/>
                <w:szCs w:val="20"/>
              </w:rPr>
              <w:t>(GT)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11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PET</w:t>
            </w:r>
          </w:p>
        </w:tc>
        <w:tc>
          <w:tcPr>
            <w:tcW w:w="15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[194-213]</w:t>
            </w:r>
          </w:p>
        </w:tc>
      </w:tr>
      <w:tr w:rsidR="009308B2">
        <w:tc>
          <w:tcPr>
            <w:tcW w:w="137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Phr1C7</w:t>
            </w:r>
            <w:r>
              <w:rPr>
                <w:rFonts w:eastAsia="CourierNewPSMT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11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F:TCCGCACGTGGTGACATTGG</w:t>
            </w:r>
          </w:p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R:CTCACCTGTGAGTCGCTACTGG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(CA)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11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NED</w:t>
            </w:r>
          </w:p>
        </w:tc>
        <w:tc>
          <w:tcPr>
            <w:tcW w:w="15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[127-172]</w:t>
            </w:r>
          </w:p>
        </w:tc>
      </w:tr>
      <w:tr w:rsidR="009308B2">
        <w:tc>
          <w:tcPr>
            <w:tcW w:w="137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Phr2C3</w:t>
            </w:r>
            <w:r>
              <w:rPr>
                <w:rFonts w:eastAsia="CourierNewPSMT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11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F:AGTTGTGCGAGCATCAG</w:t>
            </w:r>
          </w:p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R:GTCATCAGGCAATGCTAA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(AG)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20</w:t>
            </w:r>
          </w:p>
        </w:tc>
        <w:tc>
          <w:tcPr>
            <w:tcW w:w="11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FAM</w:t>
            </w:r>
          </w:p>
        </w:tc>
        <w:tc>
          <w:tcPr>
            <w:tcW w:w="15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[210-231]</w:t>
            </w:r>
          </w:p>
        </w:tc>
      </w:tr>
      <w:tr w:rsidR="009308B2">
        <w:tc>
          <w:tcPr>
            <w:tcW w:w="137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Phr3B3</w:t>
            </w:r>
            <w:r>
              <w:rPr>
                <w:rFonts w:eastAsia="CourierNewPSMT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11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F:ACCGCTGCGAATGACAGGTA</w:t>
            </w:r>
          </w:p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R:GCCAGCCTTGACAACACATATC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(TG)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eastAsia="CourierNewPSMT" w:cs="Times New Roman"/>
                <w:sz w:val="20"/>
                <w:szCs w:val="20"/>
              </w:rPr>
              <w:t>...GA)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eastAsia="CourierNewPSMT" w:cs="Times New Roman"/>
                <w:sz w:val="20"/>
                <w:szCs w:val="20"/>
              </w:rPr>
              <w:t>AA(GA)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11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NED</w:t>
            </w:r>
          </w:p>
        </w:tc>
        <w:tc>
          <w:tcPr>
            <w:tcW w:w="15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[186-245]</w:t>
            </w:r>
          </w:p>
        </w:tc>
      </w:tr>
      <w:tr w:rsidR="009308B2">
        <w:tc>
          <w:tcPr>
            <w:tcW w:w="137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Phr4G1</w:t>
            </w:r>
            <w:r>
              <w:rPr>
                <w:rFonts w:eastAsia="CourierNewPSMT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11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F:CAGCATAATTGCATTAGTAACCAG</w:t>
            </w:r>
          </w:p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R:GTCCATCGAGCGAGCTAGG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(GA)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eastAsia="CourierNewPSMT" w:cs="Times New Roman"/>
                <w:sz w:val="20"/>
                <w:szCs w:val="20"/>
              </w:rPr>
              <w:t>T(AG)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1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FAM</w:t>
            </w:r>
          </w:p>
        </w:tc>
        <w:tc>
          <w:tcPr>
            <w:tcW w:w="15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[161-192]</w:t>
            </w:r>
          </w:p>
        </w:tc>
      </w:tr>
      <w:tr w:rsidR="009308B2">
        <w:tc>
          <w:tcPr>
            <w:tcW w:w="137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Phr4A10</w:t>
            </w:r>
            <w:r>
              <w:rPr>
                <w:rFonts w:eastAsia="CourierNewPSMT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11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F:ATTGGCGCAGGACAGGAAGA</w:t>
            </w:r>
          </w:p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R:GTTACACGTAGCAACGGAACAGC</w:t>
            </w: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(GA)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17</w:t>
            </w:r>
          </w:p>
        </w:tc>
        <w:tc>
          <w:tcPr>
            <w:tcW w:w="11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NED</w:t>
            </w:r>
          </w:p>
        </w:tc>
        <w:tc>
          <w:tcPr>
            <w:tcW w:w="15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[185-235]</w:t>
            </w:r>
          </w:p>
          <w:p w:rsidR="009308B2" w:rsidRDefault="009308B2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</w:p>
        </w:tc>
      </w:tr>
      <w:tr w:rsidR="009308B2">
        <w:tc>
          <w:tcPr>
            <w:tcW w:w="137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Phr756</w:t>
            </w:r>
          </w:p>
        </w:tc>
        <w:tc>
          <w:tcPr>
            <w:tcW w:w="411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F: AGGTTTCTGATGCCAACAGG</w:t>
            </w:r>
          </w:p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R: GGGCTAAAAGAAAGGCACAG</w:t>
            </w:r>
          </w:p>
          <w:p w:rsidR="009308B2" w:rsidRDefault="009308B2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(GT)</w:t>
            </w:r>
            <w:r>
              <w:rPr>
                <w:rFonts w:eastAsia="CourierNewPSMT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1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FAM</w:t>
            </w:r>
          </w:p>
        </w:tc>
        <w:tc>
          <w:tcPr>
            <w:tcW w:w="1560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right w:w="0" w:type="dxa"/>
            </w:tcMar>
          </w:tcPr>
          <w:p w:rsidR="009308B2" w:rsidRDefault="006C4FFF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  <w:r>
              <w:rPr>
                <w:rFonts w:eastAsia="CourierNewPSMT" w:cs="Times New Roman"/>
                <w:sz w:val="20"/>
                <w:szCs w:val="20"/>
              </w:rPr>
              <w:t>[166-191]</w:t>
            </w:r>
          </w:p>
          <w:p w:rsidR="009308B2" w:rsidRDefault="009308B2">
            <w:pPr>
              <w:autoSpaceDE w:val="0"/>
              <w:autoSpaceDN w:val="0"/>
              <w:adjustRightInd w:val="0"/>
              <w:spacing w:after="0" w:line="240" w:lineRule="auto"/>
              <w:ind w:right="-7"/>
              <w:jc w:val="center"/>
              <w:rPr>
                <w:rFonts w:eastAsia="CourierNewPSMT" w:cs="Times New Roman"/>
                <w:sz w:val="20"/>
                <w:szCs w:val="20"/>
              </w:rPr>
            </w:pPr>
          </w:p>
        </w:tc>
      </w:tr>
    </w:tbl>
    <w:p w:rsidR="009308B2" w:rsidRDefault="006C4FFF">
      <w:pPr>
        <w:spacing w:after="0" w:line="240" w:lineRule="auto"/>
        <w:ind w:right="-6"/>
        <w:rPr>
          <w:rFonts w:cs="Times New Roman"/>
          <w:color w:val="000000"/>
          <w:sz w:val="20"/>
          <w:szCs w:val="20"/>
        </w:rPr>
      </w:pPr>
      <w:proofErr w:type="spellStart"/>
      <w:proofErr w:type="gramStart"/>
      <w:r>
        <w:rPr>
          <w:rFonts w:eastAsia="CourierNewPSMT" w:cs="Times New Roman"/>
          <w:sz w:val="20"/>
          <w:szCs w:val="20"/>
          <w:vertAlign w:val="superscript"/>
        </w:rPr>
        <w:t>a</w:t>
      </w:r>
      <w:r>
        <w:rPr>
          <w:rFonts w:eastAsia="CourierNewPSMT" w:cs="Times New Roman"/>
          <w:sz w:val="20"/>
          <w:szCs w:val="20"/>
        </w:rPr>
        <w:t>See</w:t>
      </w:r>
      <w:proofErr w:type="spellEnd"/>
      <w:proofErr w:type="gramEnd"/>
      <w:r>
        <w:rPr>
          <w:rFonts w:eastAsia="CourierNewPSMT" w:cs="Times New Roman"/>
          <w:sz w:val="20"/>
          <w:szCs w:val="20"/>
        </w:rPr>
        <w:t xml:space="preserve"> further details in </w:t>
      </w:r>
      <w:proofErr w:type="spellStart"/>
      <w:r>
        <w:rPr>
          <w:rFonts w:cs="Times New Roman"/>
          <w:color w:val="000000"/>
          <w:sz w:val="20"/>
          <w:szCs w:val="20"/>
        </w:rPr>
        <w:t>Streiff</w:t>
      </w:r>
      <w:proofErr w:type="spellEnd"/>
      <w:r>
        <w:rPr>
          <w:rFonts w:cs="Times New Roman"/>
          <w:color w:val="000000"/>
          <w:sz w:val="20"/>
          <w:szCs w:val="20"/>
        </w:rPr>
        <w:t xml:space="preserve"> R, </w:t>
      </w:r>
      <w:proofErr w:type="spellStart"/>
      <w:r>
        <w:rPr>
          <w:rFonts w:cs="Times New Roman"/>
          <w:color w:val="000000"/>
          <w:sz w:val="20"/>
          <w:szCs w:val="20"/>
        </w:rPr>
        <w:t>Mondor-Genson</w:t>
      </w:r>
      <w:proofErr w:type="spellEnd"/>
      <w:r>
        <w:rPr>
          <w:rFonts w:cs="Times New Roman"/>
          <w:color w:val="000000"/>
          <w:sz w:val="20"/>
          <w:szCs w:val="20"/>
        </w:rPr>
        <w:t xml:space="preserve"> G, </w:t>
      </w:r>
      <w:proofErr w:type="spellStart"/>
      <w:r>
        <w:rPr>
          <w:rFonts w:cs="Times New Roman"/>
          <w:color w:val="000000"/>
          <w:sz w:val="20"/>
          <w:szCs w:val="20"/>
        </w:rPr>
        <w:t>Audiot</w:t>
      </w:r>
      <w:proofErr w:type="spellEnd"/>
      <w:r>
        <w:rPr>
          <w:rFonts w:cs="Times New Roman"/>
          <w:color w:val="000000"/>
          <w:sz w:val="20"/>
          <w:szCs w:val="20"/>
        </w:rPr>
        <w:t xml:space="preserve"> P, </w:t>
      </w:r>
      <w:proofErr w:type="spellStart"/>
      <w:r>
        <w:rPr>
          <w:rFonts w:cs="Times New Roman"/>
          <w:color w:val="000000"/>
          <w:sz w:val="20"/>
          <w:szCs w:val="20"/>
        </w:rPr>
        <w:t>Rasplus</w:t>
      </w:r>
      <w:proofErr w:type="spellEnd"/>
      <w:r>
        <w:rPr>
          <w:rFonts w:cs="Times New Roman"/>
          <w:color w:val="000000"/>
          <w:sz w:val="20"/>
          <w:szCs w:val="20"/>
        </w:rPr>
        <w:t xml:space="preserve"> J-Y (2002) Microsatellite DNA markers for a grasshopper : </w:t>
      </w:r>
      <w:proofErr w:type="spellStart"/>
      <w:r>
        <w:rPr>
          <w:rFonts w:cs="Times New Roman"/>
          <w:color w:val="000000"/>
          <w:sz w:val="20"/>
          <w:szCs w:val="20"/>
        </w:rPr>
        <w:t>Prionotropis</w:t>
      </w:r>
      <w:proofErr w:type="spellEnd"/>
      <w:r>
        <w:rPr>
          <w:rFonts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cs="Times New Roman"/>
          <w:color w:val="000000"/>
          <w:sz w:val="20"/>
          <w:szCs w:val="20"/>
        </w:rPr>
        <w:t>hystrix</w:t>
      </w:r>
      <w:proofErr w:type="spellEnd"/>
      <w:r>
        <w:rPr>
          <w:rFonts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cs="Times New Roman"/>
          <w:color w:val="000000"/>
          <w:sz w:val="20"/>
          <w:szCs w:val="20"/>
        </w:rPr>
        <w:t>rhodanica</w:t>
      </w:r>
      <w:proofErr w:type="spellEnd"/>
      <w:r>
        <w:rPr>
          <w:rFonts w:cs="Times New Roman"/>
          <w:color w:val="000000"/>
          <w:sz w:val="20"/>
          <w:szCs w:val="20"/>
        </w:rPr>
        <w:t xml:space="preserve"> (</w:t>
      </w:r>
      <w:proofErr w:type="spellStart"/>
      <w:r>
        <w:rPr>
          <w:rFonts w:cs="Times New Roman"/>
          <w:color w:val="000000"/>
          <w:sz w:val="20"/>
          <w:szCs w:val="20"/>
        </w:rPr>
        <w:t>Orthoptera</w:t>
      </w:r>
      <w:proofErr w:type="spellEnd"/>
      <w:r>
        <w:rPr>
          <w:rFonts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cs="Times New Roman"/>
          <w:color w:val="000000"/>
          <w:sz w:val="20"/>
          <w:szCs w:val="20"/>
        </w:rPr>
        <w:t>Pamphagidae</w:t>
      </w:r>
      <w:proofErr w:type="spellEnd"/>
      <w:r>
        <w:rPr>
          <w:rFonts w:cs="Times New Roman"/>
          <w:color w:val="000000"/>
          <w:sz w:val="20"/>
          <w:szCs w:val="20"/>
        </w:rPr>
        <w:t xml:space="preserve">). </w:t>
      </w:r>
      <w:r>
        <w:rPr>
          <w:rFonts w:cs="Times New Roman"/>
          <w:i/>
          <w:color w:val="000000"/>
          <w:sz w:val="20"/>
          <w:szCs w:val="20"/>
        </w:rPr>
        <w:t>Molecular Ecology Notes</w:t>
      </w:r>
      <w:r>
        <w:rPr>
          <w:rFonts w:cs="Times New Roman"/>
          <w:color w:val="000000"/>
          <w:sz w:val="20"/>
          <w:szCs w:val="20"/>
        </w:rPr>
        <w:t xml:space="preserve"> 2, 265-267.</w:t>
      </w:r>
    </w:p>
    <w:p w:rsidR="009308B2" w:rsidRDefault="006C4FFF">
      <w:pPr>
        <w:spacing w:after="0" w:line="240" w:lineRule="auto"/>
        <w:ind w:right="-6"/>
        <w:rPr>
          <w:rFonts w:cs="Times New Roman"/>
          <w:color w:val="000000"/>
          <w:sz w:val="20"/>
          <w:szCs w:val="20"/>
        </w:rPr>
      </w:pPr>
      <w:proofErr w:type="spellStart"/>
      <w:r>
        <w:rPr>
          <w:rFonts w:eastAsia="CourierNewPSMT" w:cs="Times New Roman"/>
          <w:sz w:val="20"/>
          <w:szCs w:val="20"/>
          <w:vertAlign w:val="superscript"/>
        </w:rPr>
        <w:t>b</w:t>
      </w:r>
      <w:r>
        <w:rPr>
          <w:rFonts w:eastAsia="CourierNewPSMT" w:cs="Times New Roman"/>
          <w:sz w:val="20"/>
          <w:szCs w:val="20"/>
        </w:rPr>
        <w:t>See</w:t>
      </w:r>
      <w:proofErr w:type="spellEnd"/>
      <w:r>
        <w:rPr>
          <w:rFonts w:eastAsia="CourierNewPSMT" w:cs="Times New Roman"/>
          <w:sz w:val="20"/>
          <w:szCs w:val="20"/>
        </w:rPr>
        <w:t xml:space="preserve"> further details in </w:t>
      </w:r>
      <w:proofErr w:type="spellStart"/>
      <w:r>
        <w:rPr>
          <w:rFonts w:cs="Times New Roman"/>
          <w:color w:val="000000"/>
          <w:sz w:val="20"/>
          <w:szCs w:val="20"/>
        </w:rPr>
        <w:t>Streiff</w:t>
      </w:r>
      <w:proofErr w:type="spellEnd"/>
      <w:r>
        <w:rPr>
          <w:rFonts w:cs="Times New Roman"/>
          <w:color w:val="000000"/>
          <w:sz w:val="20"/>
          <w:szCs w:val="20"/>
        </w:rPr>
        <w:t xml:space="preserve"> R, </w:t>
      </w:r>
      <w:proofErr w:type="spellStart"/>
      <w:r>
        <w:rPr>
          <w:rFonts w:cs="Times New Roman"/>
          <w:color w:val="000000"/>
          <w:sz w:val="20"/>
          <w:szCs w:val="20"/>
        </w:rPr>
        <w:t>Audiot</w:t>
      </w:r>
      <w:proofErr w:type="spellEnd"/>
      <w:r>
        <w:rPr>
          <w:rFonts w:cs="Times New Roman"/>
          <w:color w:val="000000"/>
          <w:sz w:val="20"/>
          <w:szCs w:val="20"/>
        </w:rPr>
        <w:t xml:space="preserve"> P, </w:t>
      </w:r>
      <w:proofErr w:type="spellStart"/>
      <w:r>
        <w:rPr>
          <w:rFonts w:cs="Times New Roman"/>
          <w:color w:val="000000"/>
          <w:sz w:val="20"/>
          <w:szCs w:val="20"/>
        </w:rPr>
        <w:t>Foucart</w:t>
      </w:r>
      <w:proofErr w:type="spellEnd"/>
      <w:r>
        <w:rPr>
          <w:rFonts w:cs="Times New Roman"/>
          <w:color w:val="000000"/>
          <w:sz w:val="20"/>
          <w:szCs w:val="20"/>
        </w:rPr>
        <w:t xml:space="preserve"> A, </w:t>
      </w:r>
      <w:proofErr w:type="spellStart"/>
      <w:r>
        <w:rPr>
          <w:rFonts w:cs="Times New Roman"/>
          <w:color w:val="000000"/>
          <w:sz w:val="20"/>
          <w:szCs w:val="20"/>
        </w:rPr>
        <w:t>Lecoq</w:t>
      </w:r>
      <w:proofErr w:type="spellEnd"/>
      <w:r>
        <w:rPr>
          <w:rFonts w:cs="Times New Roman"/>
          <w:color w:val="000000"/>
          <w:sz w:val="20"/>
          <w:szCs w:val="20"/>
        </w:rPr>
        <w:t xml:space="preserve"> M, </w:t>
      </w:r>
      <w:proofErr w:type="spellStart"/>
      <w:r>
        <w:rPr>
          <w:rFonts w:cs="Times New Roman"/>
          <w:color w:val="000000"/>
          <w:sz w:val="20"/>
          <w:szCs w:val="20"/>
        </w:rPr>
        <w:t>Rasplus</w:t>
      </w:r>
      <w:proofErr w:type="spellEnd"/>
      <w:r>
        <w:rPr>
          <w:rFonts w:cs="Times New Roman"/>
          <w:color w:val="000000"/>
          <w:sz w:val="20"/>
          <w:szCs w:val="20"/>
        </w:rPr>
        <w:t xml:space="preserve"> JY (2005) Genetic survey of two endangered grasshopper subspecies, </w:t>
      </w:r>
      <w:proofErr w:type="spellStart"/>
      <w:r>
        <w:rPr>
          <w:rFonts w:cs="Times New Roman"/>
          <w:color w:val="000000"/>
          <w:sz w:val="20"/>
          <w:szCs w:val="20"/>
        </w:rPr>
        <w:t>Prionotropis</w:t>
      </w:r>
      <w:proofErr w:type="spellEnd"/>
      <w:r>
        <w:rPr>
          <w:rFonts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cs="Times New Roman"/>
          <w:color w:val="000000"/>
          <w:sz w:val="20"/>
          <w:szCs w:val="20"/>
        </w:rPr>
        <w:t>hystrix</w:t>
      </w:r>
      <w:proofErr w:type="spellEnd"/>
      <w:r>
        <w:rPr>
          <w:rFonts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cs="Times New Roman"/>
          <w:color w:val="000000"/>
          <w:sz w:val="20"/>
          <w:szCs w:val="20"/>
        </w:rPr>
        <w:t>rhodanica</w:t>
      </w:r>
      <w:proofErr w:type="spellEnd"/>
      <w:r>
        <w:rPr>
          <w:rFonts w:cs="Times New Roman"/>
          <w:color w:val="000000"/>
          <w:sz w:val="20"/>
          <w:szCs w:val="20"/>
        </w:rPr>
        <w:t xml:space="preserve"> and </w:t>
      </w:r>
      <w:proofErr w:type="spellStart"/>
      <w:r>
        <w:rPr>
          <w:rFonts w:cs="Times New Roman"/>
          <w:i/>
          <w:color w:val="000000"/>
          <w:sz w:val="20"/>
          <w:szCs w:val="20"/>
        </w:rPr>
        <w:t>Prionotropis</w:t>
      </w:r>
      <w:proofErr w:type="spellEnd"/>
      <w:r>
        <w:rPr>
          <w:rFonts w:cs="Times New Roman"/>
          <w:i/>
          <w:color w:val="000000"/>
          <w:sz w:val="20"/>
          <w:szCs w:val="20"/>
        </w:rPr>
        <w:t xml:space="preserve"> </w:t>
      </w:r>
      <w:proofErr w:type="spellStart"/>
      <w:r>
        <w:rPr>
          <w:rFonts w:cs="Times New Roman"/>
          <w:i/>
          <w:color w:val="000000"/>
          <w:sz w:val="20"/>
          <w:szCs w:val="20"/>
        </w:rPr>
        <w:t>hystrix</w:t>
      </w:r>
      <w:proofErr w:type="spellEnd"/>
      <w:r>
        <w:rPr>
          <w:rFonts w:cs="Times New Roman"/>
          <w:i/>
          <w:color w:val="000000"/>
          <w:sz w:val="20"/>
          <w:szCs w:val="20"/>
        </w:rPr>
        <w:t xml:space="preserve"> </w:t>
      </w:r>
      <w:proofErr w:type="spellStart"/>
      <w:r>
        <w:rPr>
          <w:rFonts w:cs="Times New Roman"/>
          <w:i/>
          <w:color w:val="000000"/>
          <w:sz w:val="20"/>
          <w:szCs w:val="20"/>
        </w:rPr>
        <w:t>azami</w:t>
      </w:r>
      <w:proofErr w:type="spellEnd"/>
      <w:r>
        <w:rPr>
          <w:rFonts w:cs="Times New Roman"/>
          <w:color w:val="000000"/>
          <w:sz w:val="20"/>
          <w:szCs w:val="20"/>
        </w:rPr>
        <w:t xml:space="preserve"> (</w:t>
      </w:r>
      <w:proofErr w:type="spellStart"/>
      <w:r>
        <w:rPr>
          <w:rFonts w:cs="Times New Roman"/>
          <w:color w:val="000000"/>
          <w:sz w:val="20"/>
          <w:szCs w:val="20"/>
        </w:rPr>
        <w:t>Orthoptera</w:t>
      </w:r>
      <w:proofErr w:type="spellEnd"/>
      <w:r>
        <w:rPr>
          <w:rFonts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cs="Times New Roman"/>
          <w:color w:val="000000"/>
          <w:sz w:val="20"/>
          <w:szCs w:val="20"/>
        </w:rPr>
        <w:t>Pamphagidae</w:t>
      </w:r>
      <w:proofErr w:type="spellEnd"/>
      <w:r>
        <w:rPr>
          <w:rFonts w:cs="Times New Roman"/>
          <w:color w:val="000000"/>
          <w:sz w:val="20"/>
          <w:szCs w:val="20"/>
        </w:rPr>
        <w:t xml:space="preserve">): within- and between-population dynamics at the regional scale. </w:t>
      </w:r>
      <w:r>
        <w:rPr>
          <w:rFonts w:cs="Times New Roman"/>
          <w:i/>
          <w:color w:val="000000"/>
          <w:sz w:val="20"/>
          <w:szCs w:val="20"/>
        </w:rPr>
        <w:t>Conservation Genetics</w:t>
      </w:r>
      <w:r>
        <w:rPr>
          <w:rFonts w:cs="Times New Roman"/>
          <w:color w:val="000000"/>
          <w:sz w:val="20"/>
          <w:szCs w:val="20"/>
        </w:rPr>
        <w:t xml:space="preserve"> 7, 331-344.</w:t>
      </w:r>
    </w:p>
    <w:p w:rsidR="009308B2" w:rsidRDefault="006C4FFF">
      <w:pPr>
        <w:spacing w:after="0" w:line="240" w:lineRule="auto"/>
        <w:ind w:right="-6"/>
        <w:rPr>
          <w:rFonts w:cs="Times New Roman"/>
          <w:color w:val="000000"/>
          <w:sz w:val="20"/>
          <w:szCs w:val="20"/>
        </w:rPr>
      </w:pPr>
      <w:r>
        <w:rPr>
          <w:rFonts w:cs="Times New Roman"/>
          <w:color w:val="000000"/>
          <w:sz w:val="20"/>
          <w:szCs w:val="20"/>
          <w:vertAlign w:val="superscript"/>
        </w:rPr>
        <w:t>#</w:t>
      </w:r>
      <w:proofErr w:type="gramStart"/>
      <w:r>
        <w:rPr>
          <w:rFonts w:cs="Times New Roman"/>
          <w:color w:val="000000"/>
          <w:sz w:val="20"/>
          <w:szCs w:val="20"/>
        </w:rPr>
        <w:t>Three</w:t>
      </w:r>
      <w:proofErr w:type="gramEnd"/>
      <w:r>
        <w:rPr>
          <w:rFonts w:cs="Times New Roman"/>
          <w:color w:val="000000"/>
          <w:sz w:val="20"/>
          <w:szCs w:val="20"/>
        </w:rPr>
        <w:t xml:space="preserve"> multiplex fluorescent PCR were performed. For each PCR multiplex set, we used the </w:t>
      </w:r>
      <w:proofErr w:type="spellStart"/>
      <w:r>
        <w:rPr>
          <w:rFonts w:cs="Times New Roman"/>
          <w:color w:val="000000"/>
          <w:sz w:val="20"/>
          <w:szCs w:val="20"/>
        </w:rPr>
        <w:t>Qiagen</w:t>
      </w:r>
      <w:proofErr w:type="spellEnd"/>
      <w:r>
        <w:rPr>
          <w:rFonts w:cs="Times New Roman"/>
          <w:color w:val="000000"/>
          <w:sz w:val="20"/>
          <w:szCs w:val="20"/>
        </w:rPr>
        <w:t xml:space="preserve"> Multiplex Kit (QIAGEN) in a 10µL volume containing 1X QIAGEN multiplex PCR Master Mix (providing a final concentration of 3 </w:t>
      </w:r>
      <w:proofErr w:type="spellStart"/>
      <w:r>
        <w:rPr>
          <w:rFonts w:cs="Times New Roman"/>
          <w:color w:val="000000"/>
          <w:sz w:val="20"/>
          <w:szCs w:val="20"/>
        </w:rPr>
        <w:t>mM</w:t>
      </w:r>
      <w:proofErr w:type="spellEnd"/>
      <w:r>
        <w:rPr>
          <w:rFonts w:cs="Times New Roman"/>
          <w:color w:val="000000"/>
          <w:sz w:val="20"/>
          <w:szCs w:val="20"/>
        </w:rPr>
        <w:t xml:space="preserve"> MgCl2), 0.2 µM each primer and 2 µL of genomic DNA (ca. 10 ng DNA/reaction). Cycling conditions were as follows: an initial denaturing step of 15 min at 95°C followed by a further 40 cycles at 94°C (30 s), 60°C (90 s), 72°C (60 s); and a final extension at 60°C for 30 min.</w:t>
      </w:r>
    </w:p>
    <w:p w:rsidR="009308B2" w:rsidRDefault="006C4FFF">
      <w:pPr>
        <w:spacing w:after="0" w:line="240" w:lineRule="auto"/>
        <w:ind w:right="-6"/>
      </w:pPr>
      <w:r>
        <w:rPr>
          <w:rFonts w:cs="Times New Roman"/>
          <w:color w:val="000000"/>
          <w:sz w:val="20"/>
          <w:szCs w:val="20"/>
          <w:vertAlign w:val="superscript"/>
        </w:rPr>
        <w:t>$</w:t>
      </w:r>
      <w:proofErr w:type="gramStart"/>
      <w:r>
        <w:rPr>
          <w:rFonts w:cs="Times New Roman"/>
          <w:color w:val="000000"/>
          <w:sz w:val="20"/>
          <w:szCs w:val="20"/>
        </w:rPr>
        <w:t>Two multiplex electrophoresis</w:t>
      </w:r>
      <w:proofErr w:type="gramEnd"/>
      <w:r>
        <w:rPr>
          <w:rFonts w:cs="Times New Roman"/>
          <w:color w:val="000000"/>
          <w:sz w:val="20"/>
          <w:szCs w:val="20"/>
        </w:rPr>
        <w:t xml:space="preserve"> were performed. For each electrophoresis multiplex set, we used an ABI PRISM 310 sequencing machine (Applied Biosystems) using a 20 µL volume containing 0.1 µL of GS-500LIZ-labelled internal marker size standard (Applied Biosystems), 18.9 µL of </w:t>
      </w:r>
      <w:proofErr w:type="spellStart"/>
      <w:r>
        <w:rPr>
          <w:rFonts w:cs="Times New Roman"/>
          <w:color w:val="000000"/>
          <w:sz w:val="20"/>
          <w:szCs w:val="20"/>
        </w:rPr>
        <w:t>formamide</w:t>
      </w:r>
      <w:proofErr w:type="spellEnd"/>
      <w:r>
        <w:rPr>
          <w:rFonts w:cs="Times New Roman"/>
          <w:color w:val="000000"/>
          <w:sz w:val="20"/>
          <w:szCs w:val="20"/>
        </w:rPr>
        <w:t xml:space="preserve"> and 1 µL of PCR products diluted 1:10. </w:t>
      </w:r>
    </w:p>
    <w:p w:rsidR="009308B2" w:rsidRDefault="009308B2">
      <w:pPr>
        <w:sectPr w:rsidR="009308B2">
          <w:pgSz w:w="16838" w:h="11906" w:orient="landscape"/>
          <w:pgMar w:top="1134" w:right="1418" w:bottom="1134" w:left="1418" w:header="709" w:footer="709" w:gutter="0"/>
          <w:cols w:space="708"/>
          <w:docGrid w:linePitch="360"/>
        </w:sectPr>
      </w:pPr>
    </w:p>
    <w:p w:rsidR="00322D62" w:rsidRPr="00D33425" w:rsidRDefault="00322D62" w:rsidP="00322D62">
      <w:pPr>
        <w:spacing w:after="120" w:line="240" w:lineRule="auto"/>
        <w:ind w:right="-6"/>
        <w:rPr>
          <w:rFonts w:cs="Times New Roman"/>
          <w:color w:val="000000"/>
          <w:sz w:val="22"/>
          <w:szCs w:val="22"/>
        </w:rPr>
      </w:pPr>
      <w:r w:rsidRPr="00D33425">
        <w:rPr>
          <w:rFonts w:cs="Times New Roman"/>
          <w:b/>
          <w:color w:val="000000"/>
          <w:sz w:val="22"/>
          <w:szCs w:val="22"/>
        </w:rPr>
        <w:lastRenderedPageBreak/>
        <w:t xml:space="preserve">Figure S1. </w:t>
      </w:r>
      <w:r w:rsidRPr="00D33425">
        <w:rPr>
          <w:rFonts w:cs="Times New Roman"/>
          <w:color w:val="000000"/>
          <w:sz w:val="22"/>
          <w:szCs w:val="22"/>
        </w:rPr>
        <w:t xml:space="preserve">Analysis of the spatial distribution: estimation of the Ripley </w:t>
      </w:r>
      <w:r w:rsidRPr="00D33425">
        <w:rPr>
          <w:rFonts w:cs="Times New Roman"/>
          <w:i/>
          <w:color w:val="000000"/>
          <w:sz w:val="22"/>
          <w:szCs w:val="22"/>
        </w:rPr>
        <w:t>K</w:t>
      </w:r>
      <w:r w:rsidRPr="00D33425">
        <w:rPr>
          <w:rFonts w:cs="Times New Roman"/>
          <w:color w:val="000000"/>
          <w:sz w:val="22"/>
          <w:szCs w:val="22"/>
        </w:rPr>
        <w:t xml:space="preserve"> function using different edge correction techniques and theoretical expectation under spatial randomness. </w:t>
      </w:r>
      <w:r w:rsidRPr="00D33425">
        <w:rPr>
          <w:rFonts w:cs="Times New Roman"/>
          <w:i/>
          <w:color w:val="000000"/>
          <w:sz w:val="22"/>
          <w:szCs w:val="22"/>
        </w:rPr>
        <w:t>K</w:t>
      </w:r>
      <w:r w:rsidRPr="00D33425">
        <w:rPr>
          <w:rFonts w:cs="Times New Roman"/>
          <w:i/>
          <w:color w:val="000000"/>
          <w:sz w:val="22"/>
          <w:szCs w:val="22"/>
          <w:vertAlign w:val="subscript"/>
        </w:rPr>
        <w:t>iso</w:t>
      </w:r>
      <w:r w:rsidRPr="00D33425">
        <w:rPr>
          <w:rFonts w:cs="Times New Roman"/>
          <w:color w:val="000000"/>
          <w:sz w:val="22"/>
          <w:szCs w:val="22"/>
        </w:rPr>
        <w:t xml:space="preserve"> (black color): Ripley isotropic correction estimate; </w:t>
      </w:r>
      <w:proofErr w:type="spellStart"/>
      <w:r w:rsidRPr="00D33425">
        <w:rPr>
          <w:rFonts w:cs="Times New Roman"/>
          <w:i/>
          <w:color w:val="000000"/>
          <w:sz w:val="22"/>
          <w:szCs w:val="22"/>
        </w:rPr>
        <w:t>K</w:t>
      </w:r>
      <w:r w:rsidRPr="00D33425">
        <w:rPr>
          <w:rFonts w:cs="Times New Roman"/>
          <w:i/>
          <w:color w:val="000000"/>
          <w:sz w:val="22"/>
          <w:szCs w:val="22"/>
          <w:vertAlign w:val="subscript"/>
        </w:rPr>
        <w:t>trans</w:t>
      </w:r>
      <w:proofErr w:type="spellEnd"/>
      <w:r w:rsidRPr="00D33425">
        <w:rPr>
          <w:rFonts w:cs="Times New Roman"/>
          <w:color w:val="000000"/>
          <w:sz w:val="22"/>
          <w:szCs w:val="22"/>
        </w:rPr>
        <w:t xml:space="preserve"> (red color): translation-corrected estimate; </w:t>
      </w:r>
      <w:proofErr w:type="spellStart"/>
      <w:r w:rsidRPr="00D33425">
        <w:rPr>
          <w:rFonts w:cs="Times New Roman"/>
          <w:i/>
          <w:color w:val="000000"/>
          <w:sz w:val="22"/>
          <w:szCs w:val="22"/>
        </w:rPr>
        <w:t>K</w:t>
      </w:r>
      <w:r w:rsidRPr="00D33425">
        <w:rPr>
          <w:rFonts w:cs="Times New Roman"/>
          <w:i/>
          <w:color w:val="000000"/>
          <w:sz w:val="22"/>
          <w:szCs w:val="22"/>
          <w:vertAlign w:val="subscript"/>
        </w:rPr>
        <w:t>bord</w:t>
      </w:r>
      <w:proofErr w:type="spellEnd"/>
      <w:r w:rsidRPr="00D33425">
        <w:rPr>
          <w:rFonts w:cs="Times New Roman"/>
          <w:color w:val="000000"/>
          <w:sz w:val="22"/>
          <w:szCs w:val="22"/>
        </w:rPr>
        <w:t xml:space="preserve"> (green color): border-corrected estimate; </w:t>
      </w:r>
      <w:proofErr w:type="spellStart"/>
      <w:r w:rsidRPr="00D33425">
        <w:rPr>
          <w:rFonts w:cs="Times New Roman"/>
          <w:i/>
          <w:color w:val="000000"/>
          <w:sz w:val="22"/>
          <w:szCs w:val="22"/>
        </w:rPr>
        <w:t>K</w:t>
      </w:r>
      <w:r w:rsidRPr="00D33425">
        <w:rPr>
          <w:rFonts w:cs="Times New Roman"/>
          <w:i/>
          <w:color w:val="000000"/>
          <w:sz w:val="22"/>
          <w:szCs w:val="22"/>
          <w:vertAlign w:val="subscript"/>
        </w:rPr>
        <w:t>pois</w:t>
      </w:r>
      <w:proofErr w:type="spellEnd"/>
      <w:r w:rsidRPr="00D33425">
        <w:rPr>
          <w:rFonts w:cs="Times New Roman"/>
          <w:color w:val="000000"/>
          <w:sz w:val="22"/>
          <w:szCs w:val="22"/>
        </w:rPr>
        <w:t xml:space="preserve"> (blue color): theoretical </w:t>
      </w:r>
      <w:r w:rsidRPr="00D33425">
        <w:rPr>
          <w:rFonts w:cs="Times New Roman"/>
          <w:i/>
          <w:color w:val="000000"/>
          <w:sz w:val="22"/>
          <w:szCs w:val="22"/>
        </w:rPr>
        <w:t>K</w:t>
      </w:r>
      <w:r w:rsidRPr="00D33425">
        <w:rPr>
          <w:rFonts w:cs="Times New Roman"/>
          <w:color w:val="000000"/>
          <w:sz w:val="22"/>
          <w:szCs w:val="22"/>
        </w:rPr>
        <w:t xml:space="preserve"> </w:t>
      </w:r>
      <w:proofErr w:type="gramStart"/>
      <w:r w:rsidRPr="00D33425">
        <w:rPr>
          <w:rFonts w:cs="Times New Roman"/>
          <w:color w:val="000000"/>
          <w:sz w:val="22"/>
          <w:szCs w:val="22"/>
        </w:rPr>
        <w:t>function</w:t>
      </w:r>
      <w:proofErr w:type="gramEnd"/>
      <w:r w:rsidRPr="00D33425">
        <w:rPr>
          <w:rFonts w:cs="Times New Roman"/>
          <w:color w:val="000000"/>
          <w:sz w:val="22"/>
          <w:szCs w:val="22"/>
        </w:rPr>
        <w:t xml:space="preserve"> under complete spatial randomness. Both estimate (dotted line) and lower and higher confidence envelope (solid lines) are represented. The high similarity between the free empirical estimates means that </w:t>
      </w:r>
      <w:r w:rsidRPr="00D33425">
        <w:rPr>
          <w:rFonts w:cs="Times New Roman"/>
          <w:i/>
          <w:color w:val="000000"/>
          <w:sz w:val="22"/>
          <w:szCs w:val="22"/>
        </w:rPr>
        <w:t>K</w:t>
      </w:r>
      <w:r w:rsidRPr="00D33425">
        <w:rPr>
          <w:rFonts w:cs="Times New Roman"/>
          <w:color w:val="000000"/>
          <w:sz w:val="22"/>
          <w:szCs w:val="22"/>
        </w:rPr>
        <w:t xml:space="preserve"> can be correctly estimated from the data. The empirical estimates clearly stand above the theoretical function, which support that individuals are highly aggregated in space.</w:t>
      </w:r>
    </w:p>
    <w:p w:rsidR="00322D62" w:rsidRDefault="00322D62">
      <w:pPr>
        <w:rPr>
          <w:b/>
          <w:sz w:val="22"/>
          <w:szCs w:val="22"/>
        </w:rPr>
      </w:pPr>
    </w:p>
    <w:p w:rsidR="00322D62" w:rsidRDefault="00322D62">
      <w:pPr>
        <w:rPr>
          <w:b/>
          <w:sz w:val="22"/>
          <w:szCs w:val="22"/>
        </w:rPr>
      </w:pPr>
      <w:r>
        <w:rPr>
          <w:noProof/>
          <w:lang w:val="fr-FR" w:eastAsia="fr-FR"/>
        </w:rPr>
        <w:drawing>
          <wp:inline distT="0" distB="0" distL="114300" distR="114300">
            <wp:extent cx="5268595" cy="4924425"/>
            <wp:effectExtent l="0" t="0" r="8255" b="9525"/>
            <wp:docPr id="1" name="Image 1" descr="Ripl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Ripley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92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D62" w:rsidRDefault="00322D62">
      <w:pPr>
        <w:rPr>
          <w:b/>
          <w:sz w:val="22"/>
          <w:szCs w:val="22"/>
        </w:rPr>
      </w:pPr>
    </w:p>
    <w:p w:rsidR="00322D62" w:rsidRDefault="00322D62">
      <w:pPr>
        <w:rPr>
          <w:b/>
          <w:sz w:val="22"/>
          <w:szCs w:val="22"/>
        </w:rPr>
      </w:pPr>
    </w:p>
    <w:p w:rsidR="00322D62" w:rsidRDefault="00322D62">
      <w:pPr>
        <w:widowControl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9308B2" w:rsidRPr="00D33425" w:rsidRDefault="006C4FFF">
      <w:pPr>
        <w:rPr>
          <w:sz w:val="22"/>
          <w:szCs w:val="22"/>
        </w:rPr>
      </w:pPr>
      <w:r w:rsidRPr="00D33425">
        <w:rPr>
          <w:b/>
          <w:sz w:val="22"/>
          <w:szCs w:val="22"/>
        </w:rPr>
        <w:lastRenderedPageBreak/>
        <w:t>Figure S2</w:t>
      </w:r>
      <w:r w:rsidRPr="00D33425">
        <w:rPr>
          <w:sz w:val="22"/>
          <w:szCs w:val="22"/>
        </w:rPr>
        <w:t xml:space="preserve"> </w:t>
      </w:r>
      <w:r w:rsidR="00E40194">
        <w:rPr>
          <w:sz w:val="22"/>
          <w:szCs w:val="22"/>
        </w:rPr>
        <w:t xml:space="preserve">– </w:t>
      </w:r>
      <w:r w:rsidR="001721B7">
        <w:rPr>
          <w:sz w:val="22"/>
          <w:szCs w:val="22"/>
        </w:rPr>
        <w:t>I</w:t>
      </w:r>
      <w:r w:rsidR="00E40194">
        <w:rPr>
          <w:sz w:val="22"/>
          <w:szCs w:val="22"/>
        </w:rPr>
        <w:t>llustration of the r</w:t>
      </w:r>
      <w:r w:rsidRPr="00D33425">
        <w:rPr>
          <w:sz w:val="22"/>
          <w:szCs w:val="22"/>
        </w:rPr>
        <w:t xml:space="preserve">egression of MODIS reference NDVI values against </w:t>
      </w:r>
      <w:r w:rsidR="00D33425" w:rsidRPr="00D33425">
        <w:rPr>
          <w:rFonts w:cs="Times New Roman"/>
          <w:color w:val="000000"/>
          <w:sz w:val="22"/>
          <w:szCs w:val="22"/>
        </w:rPr>
        <w:t xml:space="preserve">rescaled </w:t>
      </w:r>
      <w:r w:rsidRPr="00D33425">
        <w:rPr>
          <w:sz w:val="22"/>
          <w:szCs w:val="22"/>
        </w:rPr>
        <w:t>Landsat</w:t>
      </w:r>
      <w:r w:rsidR="00D33425" w:rsidRPr="00D33425">
        <w:rPr>
          <w:sz w:val="22"/>
          <w:szCs w:val="22"/>
        </w:rPr>
        <w:t xml:space="preserve"> </w:t>
      </w:r>
      <w:r w:rsidRPr="00D33425">
        <w:rPr>
          <w:sz w:val="22"/>
          <w:szCs w:val="22"/>
        </w:rPr>
        <w:t>NDVI values: Intercept = 0.2398689, Slope = 0.6944841, r² = 0.7282.</w:t>
      </w:r>
    </w:p>
    <w:p w:rsidR="009308B2" w:rsidRDefault="00D33425">
      <w:r>
        <w:rPr>
          <w:noProof/>
          <w:lang w:val="fr-FR"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489585</wp:posOffset>
            </wp:positionH>
            <wp:positionV relativeFrom="paragraph">
              <wp:posOffset>73660</wp:posOffset>
            </wp:positionV>
            <wp:extent cx="5162550" cy="5162550"/>
            <wp:effectExtent l="0" t="0" r="0" b="0"/>
            <wp:wrapNone/>
            <wp:docPr id="2" name="Image 2" descr="NDVI_regress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NDVI_regression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D33425" w:rsidRDefault="00D33425">
      <w:pPr>
        <w:widowControl/>
        <w:jc w:val="left"/>
      </w:pPr>
      <w:r>
        <w:br w:type="page"/>
      </w:r>
    </w:p>
    <w:p w:rsidR="009308B2" w:rsidRDefault="009308B2"/>
    <w:p w:rsidR="009308B2" w:rsidRDefault="006C4FFF">
      <w:pPr>
        <w:rPr>
          <w:sz w:val="22"/>
          <w:szCs w:val="22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261620</wp:posOffset>
            </wp:positionV>
            <wp:extent cx="6119495" cy="7356475"/>
            <wp:effectExtent l="0" t="0" r="0" b="0"/>
            <wp:wrapNone/>
            <wp:docPr id="3" name="Image 3" descr="NDVI_calib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NDVI_calibration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735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  <w:szCs w:val="22"/>
        </w:rPr>
        <w:t xml:space="preserve">Figure S3 </w:t>
      </w:r>
      <w:r>
        <w:rPr>
          <w:sz w:val="22"/>
          <w:szCs w:val="22"/>
        </w:rPr>
        <w:t xml:space="preserve">– Maps of A) MODIS </w:t>
      </w:r>
      <w:r w:rsidR="00E40194">
        <w:rPr>
          <w:sz w:val="22"/>
          <w:szCs w:val="22"/>
        </w:rPr>
        <w:t>NDVI reference values and B)</w:t>
      </w:r>
      <w:r>
        <w:rPr>
          <w:sz w:val="22"/>
          <w:szCs w:val="22"/>
        </w:rPr>
        <w:t xml:space="preserve"> calibrated Landsat NDVI values</w:t>
      </w:r>
    </w:p>
    <w:p w:rsidR="009308B2" w:rsidRDefault="009308B2">
      <w:pPr>
        <w:rPr>
          <w:sz w:val="22"/>
          <w:szCs w:val="22"/>
        </w:rPr>
      </w:pPr>
    </w:p>
    <w:p w:rsidR="009308B2" w:rsidRDefault="009308B2">
      <w:pPr>
        <w:rPr>
          <w:sz w:val="22"/>
          <w:szCs w:val="22"/>
        </w:rPr>
      </w:pPr>
    </w:p>
    <w:p w:rsidR="009308B2" w:rsidRDefault="009308B2">
      <w:pPr>
        <w:rPr>
          <w:sz w:val="22"/>
          <w:szCs w:val="22"/>
        </w:rPr>
      </w:pPr>
    </w:p>
    <w:p w:rsidR="009308B2" w:rsidRDefault="009308B2">
      <w:pPr>
        <w:rPr>
          <w:sz w:val="22"/>
          <w:szCs w:val="22"/>
        </w:rPr>
      </w:pPr>
    </w:p>
    <w:p w:rsidR="009308B2" w:rsidRDefault="009308B2">
      <w:pPr>
        <w:rPr>
          <w:sz w:val="22"/>
          <w:szCs w:val="22"/>
        </w:rPr>
      </w:pPr>
    </w:p>
    <w:p w:rsidR="009308B2" w:rsidRDefault="009308B2">
      <w:pPr>
        <w:rPr>
          <w:sz w:val="22"/>
          <w:szCs w:val="22"/>
        </w:rPr>
      </w:pPr>
    </w:p>
    <w:p w:rsidR="009308B2" w:rsidRDefault="009308B2">
      <w:pPr>
        <w:rPr>
          <w:sz w:val="22"/>
          <w:szCs w:val="22"/>
        </w:rPr>
      </w:pPr>
    </w:p>
    <w:p w:rsidR="009308B2" w:rsidRDefault="009308B2">
      <w:pPr>
        <w:rPr>
          <w:sz w:val="22"/>
          <w:szCs w:val="22"/>
        </w:rPr>
      </w:pPr>
    </w:p>
    <w:p w:rsidR="009308B2" w:rsidRDefault="009308B2">
      <w:pPr>
        <w:rPr>
          <w:sz w:val="22"/>
          <w:szCs w:val="22"/>
        </w:rPr>
      </w:pPr>
    </w:p>
    <w:p w:rsidR="009308B2" w:rsidRDefault="009308B2">
      <w:pPr>
        <w:rPr>
          <w:sz w:val="22"/>
          <w:szCs w:val="22"/>
        </w:rPr>
      </w:pPr>
    </w:p>
    <w:p w:rsidR="009308B2" w:rsidRDefault="009308B2">
      <w:pPr>
        <w:rPr>
          <w:sz w:val="22"/>
          <w:szCs w:val="22"/>
        </w:rPr>
      </w:pPr>
    </w:p>
    <w:p w:rsidR="009308B2" w:rsidRDefault="009308B2">
      <w:pPr>
        <w:rPr>
          <w:sz w:val="22"/>
          <w:szCs w:val="22"/>
        </w:rPr>
      </w:pPr>
    </w:p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322D62" w:rsidRDefault="00322D62" w:rsidP="00322D62">
      <w:pPr>
        <w:sectPr w:rsidR="00322D6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2D62" w:rsidRDefault="0077086E">
      <w:r>
        <w:rPr>
          <w:noProof/>
          <w:lang w:val="fr-FR" w:eastAsia="fr-FR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555984</wp:posOffset>
            </wp:positionV>
            <wp:extent cx="6221895" cy="4397361"/>
            <wp:effectExtent l="0" t="0" r="7620" b="381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NDVI 2016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1573" cy="4397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2D62">
        <w:rPr>
          <w:b/>
          <w:sz w:val="22"/>
          <w:szCs w:val="22"/>
        </w:rPr>
        <w:t>Figure S4</w:t>
      </w:r>
      <w:r w:rsidR="00322D62">
        <w:rPr>
          <w:sz w:val="22"/>
          <w:szCs w:val="22"/>
        </w:rPr>
        <w:t xml:space="preserve"> </w:t>
      </w:r>
      <w:r w:rsidR="00610A80">
        <w:rPr>
          <w:sz w:val="22"/>
          <w:szCs w:val="22"/>
        </w:rPr>
        <w:t>Localization of the enclosure and plots were vegetation productivity indices have been measured in 2016. The study area considered in 2001 is delineated by a black line and the map background corresponds to the 2016-rescaled NDVI.</w:t>
      </w:r>
      <w:r w:rsidRPr="0077086E">
        <w:rPr>
          <w:noProof/>
          <w:lang w:eastAsia="fr-FR"/>
        </w:rPr>
        <w:t xml:space="preserve"> </w:t>
      </w:r>
    </w:p>
    <w:p w:rsidR="00322D62" w:rsidRDefault="00322D62"/>
    <w:p w:rsidR="00322D62" w:rsidRDefault="00322D62"/>
    <w:p w:rsidR="00322D62" w:rsidRDefault="00322D62"/>
    <w:p w:rsidR="00322D62" w:rsidRDefault="00322D62"/>
    <w:p w:rsidR="00322D62" w:rsidRDefault="00322D62"/>
    <w:p w:rsidR="00322D62" w:rsidRDefault="00322D62"/>
    <w:p w:rsidR="00322D62" w:rsidRDefault="00322D62"/>
    <w:p w:rsidR="00322D62" w:rsidRDefault="00322D62"/>
    <w:p w:rsidR="00322D62" w:rsidRDefault="00322D62"/>
    <w:p w:rsidR="00322D62" w:rsidRDefault="00322D62"/>
    <w:p w:rsidR="00322D62" w:rsidRDefault="00322D62"/>
    <w:p w:rsidR="00322D62" w:rsidRDefault="00322D62"/>
    <w:p w:rsidR="00322D62" w:rsidRDefault="00322D62" w:rsidP="00322D62"/>
    <w:p w:rsidR="00322D62" w:rsidRDefault="00322D62" w:rsidP="00322D62">
      <w:pPr>
        <w:sectPr w:rsidR="00322D62" w:rsidSect="00322D6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22D62" w:rsidRDefault="00322D62"/>
    <w:p w:rsidR="009308B2" w:rsidRPr="00322D62" w:rsidRDefault="006C4FFF" w:rsidP="00073EA0">
      <w:pPr>
        <w:spacing w:after="120" w:line="240" w:lineRule="auto"/>
        <w:ind w:right="-6"/>
        <w:rPr>
          <w:b/>
          <w:sz w:val="22"/>
          <w:szCs w:val="22"/>
        </w:rPr>
      </w:pPr>
      <w:r>
        <w:rPr>
          <w:b/>
          <w:noProof/>
          <w:sz w:val="22"/>
          <w:szCs w:val="22"/>
          <w:lang w:val="fr-FR"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24130</wp:posOffset>
            </wp:positionH>
            <wp:positionV relativeFrom="paragraph">
              <wp:posOffset>575945</wp:posOffset>
            </wp:positionV>
            <wp:extent cx="4660265" cy="4071620"/>
            <wp:effectExtent l="0" t="0" r="0" b="0"/>
            <wp:wrapNone/>
            <wp:docPr id="5" name="Image 5" descr="priono_IBD_75m_m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priono_IBD_75m_males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0265" cy="4071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2"/>
          <w:szCs w:val="22"/>
          <w:lang w:val="fr-FR"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24130</wp:posOffset>
            </wp:positionH>
            <wp:positionV relativeFrom="paragraph">
              <wp:posOffset>4957445</wp:posOffset>
            </wp:positionV>
            <wp:extent cx="4643120" cy="3696970"/>
            <wp:effectExtent l="0" t="0" r="0" b="0"/>
            <wp:wrapNone/>
            <wp:docPr id="4" name="Image 4" descr="priono_IBD_75m_femel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priono_IBD_75m_femelles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3120" cy="3696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2D62">
        <w:rPr>
          <w:b/>
          <w:sz w:val="22"/>
          <w:szCs w:val="22"/>
        </w:rPr>
        <w:t>F</w:t>
      </w:r>
      <w:r w:rsidR="00610A80">
        <w:rPr>
          <w:b/>
          <w:sz w:val="22"/>
          <w:szCs w:val="22"/>
        </w:rPr>
        <w:t>igure S5</w:t>
      </w:r>
      <w:r>
        <w:rPr>
          <w:sz w:val="22"/>
          <w:szCs w:val="22"/>
        </w:rPr>
        <w:t xml:space="preserve"> - </w:t>
      </w:r>
      <w:r>
        <w:rPr>
          <w:rFonts w:cs="Times New Roman"/>
          <w:color w:val="000000"/>
          <w:sz w:val="22"/>
          <w:szCs w:val="22"/>
        </w:rPr>
        <w:t xml:space="preserve">Linear regression between genetic distance </w:t>
      </w:r>
      <w:r>
        <w:rPr>
          <w:rFonts w:cs="Times New Roman"/>
          <w:i/>
          <w:color w:val="000000"/>
          <w:sz w:val="22"/>
          <w:szCs w:val="22"/>
        </w:rPr>
        <w:t>â</w:t>
      </w:r>
      <w:r>
        <w:rPr>
          <w:rFonts w:cs="Times New Roman"/>
          <w:color w:val="000000"/>
          <w:sz w:val="22"/>
          <w:szCs w:val="22"/>
        </w:rPr>
        <w:t xml:space="preserve"> and geographical distances computed between A) males and B) females.</w:t>
      </w:r>
      <w:r w:rsidR="00515951">
        <w:rPr>
          <w:rFonts w:cs="Times New Roman"/>
          <w:color w:val="000000"/>
          <w:sz w:val="22"/>
          <w:szCs w:val="22"/>
        </w:rPr>
        <w:t xml:space="preserve"> </w:t>
      </w:r>
      <w:r w:rsidR="00515951" w:rsidRPr="00515951">
        <w:rPr>
          <w:rFonts w:cs="Times New Roman"/>
          <w:color w:val="000000"/>
          <w:sz w:val="22"/>
          <w:szCs w:val="22"/>
        </w:rPr>
        <w:t>Variation in point density is represented by colors, from blue (low density) to red (high density).</w:t>
      </w:r>
    </w:p>
    <w:p w:rsidR="00073EA0" w:rsidRDefault="00073EA0" w:rsidP="00073EA0">
      <w:pPr>
        <w:spacing w:after="120" w:line="240" w:lineRule="auto"/>
        <w:ind w:right="-6"/>
        <w:rPr>
          <w:rFonts w:cs="Times New Roman"/>
          <w:color w:val="000000"/>
          <w:sz w:val="22"/>
          <w:szCs w:val="22"/>
        </w:rPr>
      </w:pPr>
    </w:p>
    <w:p w:rsidR="009308B2" w:rsidRDefault="006C4FFF">
      <w:r>
        <w:t>A)</w:t>
      </w:r>
    </w:p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6C4FFF">
      <w:r>
        <w:t>B)</w:t>
      </w:r>
    </w:p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9308B2" w:rsidRDefault="009308B2"/>
    <w:p w:rsidR="00335525" w:rsidRDefault="0077086E" w:rsidP="006C4FFF">
      <w:pPr>
        <w:spacing w:after="120" w:line="240" w:lineRule="auto"/>
        <w:ind w:right="-6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Figure S6</w:t>
      </w:r>
      <w:r>
        <w:rPr>
          <w:sz w:val="22"/>
          <w:szCs w:val="22"/>
        </w:rPr>
        <w:t xml:space="preserve"> </w:t>
      </w:r>
      <w:r w:rsidR="00041027">
        <w:rPr>
          <w:sz w:val="22"/>
          <w:szCs w:val="22"/>
        </w:rPr>
        <w:t xml:space="preserve">-Boxplots comparing the distribution of the four vegetation productivity indices </w:t>
      </w:r>
      <w:r w:rsidR="00137789">
        <w:rPr>
          <w:sz w:val="22"/>
          <w:szCs w:val="22"/>
        </w:rPr>
        <w:t>between plots</w:t>
      </w:r>
      <w:r w:rsidR="00041027">
        <w:rPr>
          <w:sz w:val="22"/>
          <w:szCs w:val="22"/>
        </w:rPr>
        <w:t xml:space="preserve"> located inside </w:t>
      </w:r>
      <w:r w:rsidR="00137789">
        <w:rPr>
          <w:sz w:val="22"/>
          <w:szCs w:val="22"/>
        </w:rPr>
        <w:t xml:space="preserve">and outside </w:t>
      </w:r>
      <w:r w:rsidR="00041027">
        <w:rPr>
          <w:sz w:val="22"/>
          <w:szCs w:val="22"/>
        </w:rPr>
        <w:t>the enclosure</w:t>
      </w:r>
      <w:r w:rsidR="00137789">
        <w:rPr>
          <w:sz w:val="22"/>
          <w:szCs w:val="22"/>
        </w:rPr>
        <w:t>. The boxplots show t</w:t>
      </w:r>
      <w:r w:rsidR="00137789" w:rsidRPr="00137789">
        <w:rPr>
          <w:sz w:val="22"/>
          <w:szCs w:val="22"/>
        </w:rPr>
        <w:t>he median in the middle</w:t>
      </w:r>
      <w:r w:rsidR="00137789">
        <w:rPr>
          <w:sz w:val="22"/>
          <w:szCs w:val="22"/>
        </w:rPr>
        <w:t xml:space="preserve"> (bold black line)</w:t>
      </w:r>
      <w:r w:rsidR="00137789" w:rsidRPr="00137789">
        <w:rPr>
          <w:sz w:val="22"/>
          <w:szCs w:val="22"/>
        </w:rPr>
        <w:t xml:space="preserve">, upper and lower quartiles, and upper and lower fences. </w:t>
      </w:r>
      <w:r w:rsidR="00137789">
        <w:rPr>
          <w:sz w:val="22"/>
          <w:szCs w:val="22"/>
        </w:rPr>
        <w:t>O</w:t>
      </w:r>
      <w:r w:rsidR="00137789" w:rsidRPr="00137789">
        <w:rPr>
          <w:sz w:val="22"/>
          <w:szCs w:val="22"/>
        </w:rPr>
        <w:t>utliers</w:t>
      </w:r>
      <w:r w:rsidR="00137789">
        <w:rPr>
          <w:sz w:val="22"/>
          <w:szCs w:val="22"/>
        </w:rPr>
        <w:t xml:space="preserve"> which are</w:t>
      </w:r>
      <w:r w:rsidR="00137789" w:rsidRPr="00137789">
        <w:rPr>
          <w:sz w:val="22"/>
          <w:szCs w:val="22"/>
        </w:rPr>
        <w:t xml:space="preserve"> more or less than 1.5 times the upper or lower quartiles</w:t>
      </w:r>
      <w:r w:rsidR="00137789">
        <w:rPr>
          <w:sz w:val="22"/>
          <w:szCs w:val="22"/>
        </w:rPr>
        <w:t xml:space="preserve"> are represented by white circles.</w:t>
      </w:r>
    </w:p>
    <w:p w:rsidR="00335525" w:rsidRDefault="00335525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335525" w:rsidRDefault="00041027" w:rsidP="006C4FFF">
      <w:pPr>
        <w:spacing w:after="120" w:line="240" w:lineRule="auto"/>
        <w:ind w:right="-6"/>
        <w:rPr>
          <w:b/>
          <w:sz w:val="22"/>
          <w:szCs w:val="22"/>
        </w:rPr>
      </w:pPr>
      <w:r>
        <w:rPr>
          <w:b/>
          <w:noProof/>
          <w:sz w:val="22"/>
          <w:szCs w:val="22"/>
          <w:lang w:val="fr-FR" w:eastAsia="fr-FR"/>
        </w:rPr>
        <w:drawing>
          <wp:inline distT="0" distB="0" distL="0" distR="0">
            <wp:extent cx="6120130" cy="5440045"/>
            <wp:effectExtent l="0" t="0" r="0" b="8255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xplots_vegetation_estimates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44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56BD" w:rsidRDefault="008356BD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8356BD" w:rsidRDefault="008356BD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8356BD" w:rsidRDefault="008356BD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8356BD" w:rsidRDefault="008356BD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8356BD" w:rsidRDefault="008356BD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8356BD" w:rsidRDefault="008356BD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8356BD" w:rsidRDefault="008356BD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8356BD" w:rsidRDefault="008356BD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335525" w:rsidRDefault="00335525">
      <w:pPr>
        <w:widowControl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137789" w:rsidRPr="00137789" w:rsidRDefault="00036733" w:rsidP="00137789">
      <w:pPr>
        <w:spacing w:after="120" w:line="240" w:lineRule="auto"/>
        <w:ind w:right="-6"/>
        <w:rPr>
          <w:sz w:val="22"/>
          <w:szCs w:val="22"/>
        </w:rPr>
      </w:pPr>
      <w:r>
        <w:rPr>
          <w:b/>
          <w:sz w:val="22"/>
          <w:szCs w:val="22"/>
        </w:rPr>
        <w:lastRenderedPageBreak/>
        <w:t>Figure S</w:t>
      </w:r>
      <w:r w:rsidR="00BC3DF3">
        <w:rPr>
          <w:b/>
          <w:sz w:val="22"/>
          <w:szCs w:val="22"/>
        </w:rPr>
        <w:t>7</w:t>
      </w:r>
      <w:r>
        <w:rPr>
          <w:sz w:val="22"/>
          <w:szCs w:val="22"/>
        </w:rPr>
        <w:t xml:space="preserve"> -</w:t>
      </w:r>
      <w:r w:rsidR="00137789" w:rsidRPr="00137789">
        <w:rPr>
          <w:sz w:val="22"/>
          <w:szCs w:val="22"/>
        </w:rPr>
        <w:t xml:space="preserve"> </w:t>
      </w:r>
      <w:r w:rsidR="00137789">
        <w:rPr>
          <w:sz w:val="22"/>
          <w:szCs w:val="22"/>
        </w:rPr>
        <w:t>Boxplots comparing the distribution of the rescaled NDVI values between plots located inside and outs</w:t>
      </w:r>
      <w:r w:rsidR="005F5D73">
        <w:rPr>
          <w:sz w:val="22"/>
          <w:szCs w:val="22"/>
        </w:rPr>
        <w:t xml:space="preserve">ide the enclosure before (2014) </w:t>
      </w:r>
      <w:r w:rsidR="00137789">
        <w:rPr>
          <w:sz w:val="22"/>
          <w:szCs w:val="22"/>
        </w:rPr>
        <w:t>and after (2016) fencing. The boxplots show t</w:t>
      </w:r>
      <w:r w:rsidR="00137789" w:rsidRPr="00137789">
        <w:rPr>
          <w:sz w:val="22"/>
          <w:szCs w:val="22"/>
        </w:rPr>
        <w:t>he median in the middle</w:t>
      </w:r>
      <w:r w:rsidR="00137789">
        <w:rPr>
          <w:sz w:val="22"/>
          <w:szCs w:val="22"/>
        </w:rPr>
        <w:t xml:space="preserve"> (bold black line)</w:t>
      </w:r>
      <w:r w:rsidR="00137789" w:rsidRPr="00137789">
        <w:rPr>
          <w:sz w:val="22"/>
          <w:szCs w:val="22"/>
        </w:rPr>
        <w:t>, upper and lower quartil</w:t>
      </w:r>
      <w:r w:rsidR="00137789">
        <w:rPr>
          <w:sz w:val="22"/>
          <w:szCs w:val="22"/>
        </w:rPr>
        <w:t>es, and upper and lower fences</w:t>
      </w:r>
    </w:p>
    <w:p w:rsidR="00036733" w:rsidRDefault="00036733" w:rsidP="00036733">
      <w:pPr>
        <w:spacing w:after="120" w:line="240" w:lineRule="auto"/>
        <w:ind w:right="-6"/>
        <w:rPr>
          <w:b/>
          <w:sz w:val="22"/>
          <w:szCs w:val="22"/>
        </w:rPr>
      </w:pPr>
    </w:p>
    <w:p w:rsidR="001451F3" w:rsidRDefault="001451F3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1451F3" w:rsidRDefault="00041027" w:rsidP="006C4FFF">
      <w:pPr>
        <w:spacing w:after="120" w:line="240" w:lineRule="auto"/>
        <w:ind w:right="-6"/>
        <w:rPr>
          <w:b/>
          <w:sz w:val="22"/>
          <w:szCs w:val="22"/>
        </w:rPr>
      </w:pPr>
      <w:r>
        <w:rPr>
          <w:b/>
          <w:noProof/>
          <w:sz w:val="22"/>
          <w:szCs w:val="22"/>
          <w:lang w:val="fr-FR" w:eastAsia="fr-FR"/>
        </w:rPr>
        <w:drawing>
          <wp:inline distT="0" distB="0" distL="0" distR="0">
            <wp:extent cx="6120130" cy="4284345"/>
            <wp:effectExtent l="0" t="0" r="0" b="190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xplots_ndvi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28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51F3" w:rsidRDefault="001451F3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1451F3" w:rsidRDefault="001451F3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1451F3" w:rsidRDefault="001451F3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1451F3" w:rsidRDefault="001451F3" w:rsidP="006C4FFF">
      <w:pPr>
        <w:spacing w:after="120" w:line="240" w:lineRule="auto"/>
        <w:ind w:right="-6"/>
        <w:rPr>
          <w:b/>
          <w:sz w:val="22"/>
          <w:szCs w:val="22"/>
        </w:rPr>
      </w:pPr>
    </w:p>
    <w:p w:rsidR="001451F3" w:rsidRDefault="001451F3">
      <w:pPr>
        <w:widowControl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9308B2" w:rsidRDefault="00BC3DF3" w:rsidP="006C4FFF">
      <w:pPr>
        <w:spacing w:after="120" w:line="240" w:lineRule="auto"/>
        <w:ind w:right="-6"/>
        <w:rPr>
          <w:sz w:val="22"/>
          <w:szCs w:val="22"/>
        </w:rPr>
      </w:pPr>
      <w:r>
        <w:rPr>
          <w:b/>
          <w:sz w:val="22"/>
          <w:szCs w:val="22"/>
        </w:rPr>
        <w:lastRenderedPageBreak/>
        <w:t>Figure S8</w:t>
      </w:r>
      <w:r w:rsidR="006C4FFF">
        <w:rPr>
          <w:b/>
          <w:sz w:val="22"/>
          <w:szCs w:val="22"/>
        </w:rPr>
        <w:t xml:space="preserve"> </w:t>
      </w:r>
      <w:r w:rsidR="006C4FFF">
        <w:rPr>
          <w:sz w:val="22"/>
          <w:szCs w:val="22"/>
        </w:rPr>
        <w:t>- Comparison of the MAPI results when using the complete dataset (top) or the resampled datasets with a maximum of three individuals from each circle (bottom). For clarity sake values obtained from the resampled datasets have been averaged within each cell of the grid.</w:t>
      </w:r>
    </w:p>
    <w:p w:rsidR="006C4FFF" w:rsidRDefault="006C4FFF" w:rsidP="006C4FFF">
      <w:pPr>
        <w:spacing w:after="120" w:line="240" w:lineRule="auto"/>
        <w:ind w:right="-6"/>
        <w:rPr>
          <w:sz w:val="22"/>
          <w:szCs w:val="22"/>
        </w:rPr>
      </w:pPr>
    </w:p>
    <w:p w:rsidR="006C4FFF" w:rsidRDefault="006C4FFF" w:rsidP="006C4FFF">
      <w:pPr>
        <w:spacing w:after="120" w:line="240" w:lineRule="auto"/>
        <w:ind w:right="-6"/>
        <w:rPr>
          <w:sz w:val="22"/>
          <w:szCs w:val="22"/>
        </w:rPr>
      </w:pPr>
    </w:p>
    <w:p w:rsidR="009308B2" w:rsidRDefault="006C4FFF">
      <w:pPr>
        <w:spacing w:after="120" w:line="360" w:lineRule="auto"/>
        <w:ind w:right="-6"/>
        <w:rPr>
          <w:sz w:val="22"/>
          <w:szCs w:val="22"/>
        </w:rPr>
      </w:pPr>
      <w:r>
        <w:rPr>
          <w:noProof/>
          <w:sz w:val="22"/>
          <w:szCs w:val="22"/>
          <w:lang w:val="fr-FR" w:eastAsia="fr-FR"/>
        </w:rPr>
        <w:drawing>
          <wp:inline distT="0" distB="0" distL="114300" distR="114300">
            <wp:extent cx="5671185" cy="7520940"/>
            <wp:effectExtent l="0" t="0" r="5715" b="3810"/>
            <wp:docPr id="6" name="Image 6" descr="MAPI_normal_vs_resamp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MAPI_normal_vs_resamp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71185" cy="752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308B2" w:rsidSect="00633BB8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9B3" w:rsidRDefault="00AE69B3" w:rsidP="0077086E">
      <w:pPr>
        <w:spacing w:after="0" w:line="240" w:lineRule="auto"/>
      </w:pPr>
      <w:r>
        <w:separator/>
      </w:r>
    </w:p>
  </w:endnote>
  <w:endnote w:type="continuationSeparator" w:id="0">
    <w:p w:rsidR="00AE69B3" w:rsidRDefault="00AE69B3" w:rsidP="00770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Liberation Serif">
    <w:altName w:val="Times New Roman"/>
    <w:charset w:val="00"/>
    <w:family w:val="swiss"/>
    <w:pitch w:val="default"/>
    <w:sig w:usb0="A00002AF" w:usb1="500078FB" w:usb2="00000000" w:usb3="00000000" w:csb0="6000009F" w:csb1="DFD7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NewPSMT">
    <w:altName w:val="Arial Unicode MS"/>
    <w:charset w:val="80"/>
    <w:family w:val="swiss"/>
    <w:pitch w:val="default"/>
    <w:sig w:usb0="00000001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0177965"/>
      <w:docPartObj>
        <w:docPartGallery w:val="Page Numbers (Bottom of Page)"/>
        <w:docPartUnique/>
      </w:docPartObj>
    </w:sdtPr>
    <w:sdtContent>
      <w:p w:rsidR="00AA3DA0" w:rsidRDefault="00AA3DA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A3DA0">
          <w:rPr>
            <w:noProof/>
            <w:lang w:val="fr-FR"/>
          </w:rPr>
          <w:t>1</w:t>
        </w:r>
        <w:r>
          <w:rPr>
            <w:noProof/>
            <w:lang w:val="fr-FR"/>
          </w:rPr>
          <w:fldChar w:fldCharType="end"/>
        </w:r>
      </w:p>
    </w:sdtContent>
  </w:sdt>
  <w:p w:rsidR="00AA3DA0" w:rsidRDefault="00AA3DA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9B3" w:rsidRDefault="00AE69B3" w:rsidP="0077086E">
      <w:pPr>
        <w:spacing w:after="0" w:line="240" w:lineRule="auto"/>
      </w:pPr>
      <w:r>
        <w:separator/>
      </w:r>
    </w:p>
  </w:footnote>
  <w:footnote w:type="continuationSeparator" w:id="0">
    <w:p w:rsidR="00AE69B3" w:rsidRDefault="00AE69B3" w:rsidP="007708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hyphenationZone w:val="425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EB032"/>
    <w:rsid w:val="BEE785C7"/>
    <w:rsid w:val="DCFF00EE"/>
    <w:rsid w:val="E68617EB"/>
    <w:rsid w:val="E8892596"/>
    <w:rsid w:val="FB5BD12D"/>
    <w:rsid w:val="FBFFA1D1"/>
    <w:rsid w:val="FCFBB6B3"/>
    <w:rsid w:val="00036733"/>
    <w:rsid w:val="00041027"/>
    <w:rsid w:val="00042CDA"/>
    <w:rsid w:val="00050ABF"/>
    <w:rsid w:val="00073EA0"/>
    <w:rsid w:val="001228AA"/>
    <w:rsid w:val="00123992"/>
    <w:rsid w:val="00137789"/>
    <w:rsid w:val="001451F3"/>
    <w:rsid w:val="001721B7"/>
    <w:rsid w:val="001D2E17"/>
    <w:rsid w:val="001D51FF"/>
    <w:rsid w:val="002C210D"/>
    <w:rsid w:val="002D6979"/>
    <w:rsid w:val="002F309E"/>
    <w:rsid w:val="003118E4"/>
    <w:rsid w:val="00322D62"/>
    <w:rsid w:val="00335525"/>
    <w:rsid w:val="00355F1C"/>
    <w:rsid w:val="00420274"/>
    <w:rsid w:val="00422A29"/>
    <w:rsid w:val="00490E53"/>
    <w:rsid w:val="00515951"/>
    <w:rsid w:val="005845D5"/>
    <w:rsid w:val="005F5D73"/>
    <w:rsid w:val="00610A80"/>
    <w:rsid w:val="00633BB8"/>
    <w:rsid w:val="00640ABD"/>
    <w:rsid w:val="0066103A"/>
    <w:rsid w:val="006A2D69"/>
    <w:rsid w:val="006B6ADF"/>
    <w:rsid w:val="006C4FFF"/>
    <w:rsid w:val="0077086E"/>
    <w:rsid w:val="008139E1"/>
    <w:rsid w:val="0083557F"/>
    <w:rsid w:val="00835696"/>
    <w:rsid w:val="008356BD"/>
    <w:rsid w:val="009308B2"/>
    <w:rsid w:val="00964E8F"/>
    <w:rsid w:val="009808DB"/>
    <w:rsid w:val="00992D00"/>
    <w:rsid w:val="00A14F90"/>
    <w:rsid w:val="00A2787B"/>
    <w:rsid w:val="00A51777"/>
    <w:rsid w:val="00A54C6C"/>
    <w:rsid w:val="00AA3DA0"/>
    <w:rsid w:val="00AE69B3"/>
    <w:rsid w:val="00BC3DF3"/>
    <w:rsid w:val="00D33425"/>
    <w:rsid w:val="00E40194"/>
    <w:rsid w:val="00E64F4B"/>
    <w:rsid w:val="2D0FF665"/>
    <w:rsid w:val="2DFEB032"/>
    <w:rsid w:val="2FBD968A"/>
    <w:rsid w:val="33FF6DE3"/>
    <w:rsid w:val="77E7E97F"/>
    <w:rsid w:val="7DBD5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annotation subject" w:semiHidden="0" w:uiPriority="0" w:unhideWhenUsed="0"/>
    <w:lsdException w:name="Balloon Text" w:semiHidden="0" w:uiPriority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Objetducommentaire">
    <w:name w:val="annotation subject"/>
    <w:basedOn w:val="Commentaire"/>
    <w:next w:val="Commentaire"/>
    <w:link w:val="ObjetducommentaireCar"/>
    <w:pPr>
      <w:autoSpaceDE/>
      <w:autoSpaceDN/>
      <w:adjustRightInd/>
      <w:spacing w:after="200"/>
    </w:pPr>
    <w:rPr>
      <w:rFonts w:asciiTheme="minorHAnsi" w:hAnsiTheme="minorHAnsi" w:cstheme="minorBidi"/>
      <w:b/>
      <w:bCs/>
      <w:kern w:val="2"/>
      <w:szCs w:val="20"/>
      <w:lang w:bidi="ar-SA"/>
    </w:rPr>
  </w:style>
  <w:style w:type="paragraph" w:styleId="Commentaire">
    <w:name w:val="annotation text"/>
    <w:basedOn w:val="Normal"/>
    <w:link w:val="CommentaireCar"/>
    <w:pPr>
      <w:autoSpaceDE w:val="0"/>
      <w:autoSpaceDN w:val="0"/>
      <w:adjustRightInd w:val="0"/>
      <w:spacing w:after="0" w:line="240" w:lineRule="auto"/>
    </w:pPr>
    <w:rPr>
      <w:rFonts w:ascii="Liberation Serif" w:hAnsi="Liberation Serif" w:cs="Mangal"/>
      <w:kern w:val="1"/>
      <w:sz w:val="20"/>
      <w:szCs w:val="18"/>
      <w:lang w:bidi="hi-IN"/>
    </w:rPr>
  </w:style>
  <w:style w:type="paragraph" w:styleId="Textedebulles">
    <w:name w:val="Balloon Text"/>
    <w:basedOn w:val="Normal"/>
    <w:link w:val="TextedebullesCar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pPr>
      <w:widowControl/>
      <w:spacing w:beforeAutospacing="1" w:afterAutospacing="1"/>
    </w:pPr>
    <w:rPr>
      <w:rFonts w:ascii="Times New Roman" w:eastAsia="SimSun" w:hAnsi="Times New Roman" w:cs="Times New Roman"/>
      <w:kern w:val="0"/>
    </w:rPr>
  </w:style>
  <w:style w:type="character" w:styleId="Marquedecommentaire">
    <w:name w:val="annotation reference"/>
    <w:basedOn w:val="Policepardfaut"/>
    <w:rPr>
      <w:rFonts w:cs="Times New Roman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Pr>
      <w:rFonts w:ascii="Tahoma" w:hAnsi="Tahoma" w:cs="Tahoma"/>
      <w:kern w:val="2"/>
      <w:sz w:val="16"/>
      <w:szCs w:val="16"/>
      <w:lang w:val="en-US" w:eastAsia="zh-CN"/>
    </w:rPr>
  </w:style>
  <w:style w:type="character" w:customStyle="1" w:styleId="CommentaireCar">
    <w:name w:val="Commentaire Car"/>
    <w:basedOn w:val="Policepardfaut"/>
    <w:link w:val="Commentaire"/>
    <w:rPr>
      <w:rFonts w:ascii="Liberation Serif" w:hAnsi="Liberation Serif" w:cs="Mangal"/>
      <w:kern w:val="1"/>
      <w:szCs w:val="18"/>
      <w:lang w:val="en-US" w:eastAsia="zh-CN" w:bidi="hi-IN"/>
    </w:rPr>
  </w:style>
  <w:style w:type="character" w:customStyle="1" w:styleId="ObjetducommentaireCar">
    <w:name w:val="Objet du commentaire Car"/>
    <w:basedOn w:val="CommentaireCar"/>
    <w:link w:val="Objetducommentaire"/>
    <w:rPr>
      <w:rFonts w:ascii="Liberation Serif" w:hAnsi="Liberation Serif" w:cs="Mangal"/>
      <w:b/>
      <w:bCs/>
      <w:kern w:val="2"/>
      <w:szCs w:val="18"/>
      <w:lang w:val="en-US" w:eastAsia="zh-CN" w:bidi="hi-IN"/>
    </w:rPr>
  </w:style>
  <w:style w:type="paragraph" w:styleId="En-tte">
    <w:name w:val="header"/>
    <w:basedOn w:val="Normal"/>
    <w:link w:val="En-tteCar"/>
    <w:rsid w:val="007708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rsid w:val="0077086E"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Pieddepage">
    <w:name w:val="footer"/>
    <w:basedOn w:val="Normal"/>
    <w:link w:val="PieddepageCar"/>
    <w:uiPriority w:val="99"/>
    <w:rsid w:val="007708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7086E"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annotation subject" w:semiHidden="0" w:uiPriority="0" w:unhideWhenUsed="0"/>
    <w:lsdException w:name="Balloon Text" w:semiHidden="0" w:uiPriority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Objetducommentaire">
    <w:name w:val="annotation subject"/>
    <w:basedOn w:val="Commentaire"/>
    <w:next w:val="Commentaire"/>
    <w:link w:val="ObjetducommentaireCar"/>
    <w:pPr>
      <w:autoSpaceDE/>
      <w:autoSpaceDN/>
      <w:adjustRightInd/>
      <w:spacing w:after="200"/>
    </w:pPr>
    <w:rPr>
      <w:rFonts w:asciiTheme="minorHAnsi" w:hAnsiTheme="minorHAnsi" w:cstheme="minorBidi"/>
      <w:b/>
      <w:bCs/>
      <w:kern w:val="2"/>
      <w:szCs w:val="20"/>
      <w:lang w:bidi="ar-SA"/>
    </w:rPr>
  </w:style>
  <w:style w:type="paragraph" w:styleId="Commentaire">
    <w:name w:val="annotation text"/>
    <w:basedOn w:val="Normal"/>
    <w:link w:val="CommentaireCar"/>
    <w:pPr>
      <w:autoSpaceDE w:val="0"/>
      <w:autoSpaceDN w:val="0"/>
      <w:adjustRightInd w:val="0"/>
      <w:spacing w:after="0" w:line="240" w:lineRule="auto"/>
    </w:pPr>
    <w:rPr>
      <w:rFonts w:ascii="Liberation Serif" w:hAnsi="Liberation Serif" w:cs="Mangal"/>
      <w:kern w:val="1"/>
      <w:sz w:val="20"/>
      <w:szCs w:val="18"/>
      <w:lang w:bidi="hi-IN"/>
    </w:rPr>
  </w:style>
  <w:style w:type="paragraph" w:styleId="Textedebulles">
    <w:name w:val="Balloon Text"/>
    <w:basedOn w:val="Normal"/>
    <w:link w:val="TextedebullesCar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pPr>
      <w:widowControl/>
      <w:spacing w:beforeAutospacing="1" w:afterAutospacing="1"/>
    </w:pPr>
    <w:rPr>
      <w:rFonts w:ascii="Times New Roman" w:eastAsia="SimSun" w:hAnsi="Times New Roman" w:cs="Times New Roman"/>
      <w:kern w:val="0"/>
    </w:rPr>
  </w:style>
  <w:style w:type="character" w:styleId="Marquedecommentaire">
    <w:name w:val="annotation reference"/>
    <w:basedOn w:val="Policepardfaut"/>
    <w:rPr>
      <w:rFonts w:cs="Times New Roman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Pr>
      <w:rFonts w:ascii="Tahoma" w:hAnsi="Tahoma" w:cs="Tahoma"/>
      <w:kern w:val="2"/>
      <w:sz w:val="16"/>
      <w:szCs w:val="16"/>
      <w:lang w:val="en-US" w:eastAsia="zh-CN"/>
    </w:rPr>
  </w:style>
  <w:style w:type="character" w:customStyle="1" w:styleId="CommentaireCar">
    <w:name w:val="Commentaire Car"/>
    <w:basedOn w:val="Policepardfaut"/>
    <w:link w:val="Commentaire"/>
    <w:rPr>
      <w:rFonts w:ascii="Liberation Serif" w:hAnsi="Liberation Serif" w:cs="Mangal"/>
      <w:kern w:val="1"/>
      <w:szCs w:val="18"/>
      <w:lang w:val="en-US" w:eastAsia="zh-CN" w:bidi="hi-IN"/>
    </w:rPr>
  </w:style>
  <w:style w:type="character" w:customStyle="1" w:styleId="ObjetducommentaireCar">
    <w:name w:val="Objet du commentaire Car"/>
    <w:basedOn w:val="CommentaireCar"/>
    <w:link w:val="Objetducommentaire"/>
    <w:rPr>
      <w:rFonts w:ascii="Liberation Serif" w:hAnsi="Liberation Serif" w:cs="Mangal"/>
      <w:b/>
      <w:bCs/>
      <w:kern w:val="2"/>
      <w:szCs w:val="18"/>
      <w:lang w:val="en-US" w:eastAsia="zh-CN" w:bidi="hi-IN"/>
    </w:rPr>
  </w:style>
  <w:style w:type="paragraph" w:styleId="En-tte">
    <w:name w:val="header"/>
    <w:basedOn w:val="Normal"/>
    <w:link w:val="En-tteCar"/>
    <w:rsid w:val="007708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rsid w:val="0077086E"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Pieddepage">
    <w:name w:val="footer"/>
    <w:basedOn w:val="Normal"/>
    <w:link w:val="PieddepageCar"/>
    <w:uiPriority w:val="99"/>
    <w:rsid w:val="007708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7086E"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13</Pages>
  <Words>1685</Words>
  <Characters>9273</Characters>
  <Application>Microsoft Office Word</Application>
  <DocSecurity>0</DocSecurity>
  <Lines>77</Lines>
  <Paragraphs>21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INRA CBGP</Company>
  <LinksUpToDate>false</LinksUpToDate>
  <CharactersWithSpaces>10937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Sylvain Piry</dc:creator>
  <cp:lastModifiedBy>chapuis</cp:lastModifiedBy>
  <cp:revision>5</cp:revision>
  <dcterms:created xsi:type="dcterms:W3CDTF">2018-04-13T12:41:00Z</dcterms:created>
  <dcterms:modified xsi:type="dcterms:W3CDTF">2018-04-13T13:50:00Z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1036-10.1.0.5672</vt:lpwstr>
  </property>
</Properties>
</file>